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98" w:rsidRPr="00245298" w:rsidRDefault="00245298" w:rsidP="00DE783E">
      <w:pPr>
        <w:numPr>
          <w:ilvl w:val="0"/>
          <w:numId w:val="1"/>
        </w:numPr>
        <w:spacing w:after="0" w:line="276" w:lineRule="auto"/>
        <w:jc w:val="both"/>
        <w:rPr>
          <w:b/>
          <w:bCs/>
          <w:lang w:bidi="cs-CZ"/>
        </w:rPr>
      </w:pPr>
      <w:bookmarkStart w:id="0" w:name="bookmark1"/>
      <w:r w:rsidRPr="00245298">
        <w:rPr>
          <w:b/>
          <w:bCs/>
          <w:lang w:bidi="cs-CZ"/>
        </w:rPr>
        <w:t>URČENÍ VÝROBKU</w:t>
      </w:r>
      <w:bookmarkEnd w:id="0"/>
    </w:p>
    <w:p w:rsidR="00245298" w:rsidRDefault="00245298" w:rsidP="00DE783E">
      <w:pPr>
        <w:spacing w:after="0" w:line="276" w:lineRule="auto"/>
        <w:jc w:val="both"/>
        <w:rPr>
          <w:b/>
          <w:bCs/>
          <w:lang w:bidi="cs-CZ"/>
        </w:rPr>
      </w:pPr>
    </w:p>
    <w:p w:rsidR="007C0ECB" w:rsidRDefault="001F19C0" w:rsidP="00DE783E">
      <w:pPr>
        <w:spacing w:after="0" w:line="276" w:lineRule="auto"/>
        <w:jc w:val="both"/>
        <w:rPr>
          <w:lang w:bidi="cs-CZ"/>
        </w:rPr>
      </w:pPr>
      <w:r>
        <w:rPr>
          <w:b/>
          <w:bCs/>
          <w:lang w:bidi="cs-CZ"/>
        </w:rPr>
        <w:t>Svetr</w:t>
      </w:r>
      <w:r w:rsidR="00973AFD">
        <w:rPr>
          <w:b/>
          <w:bCs/>
          <w:lang w:bidi="cs-CZ"/>
        </w:rPr>
        <w:t xml:space="preserve"> </w:t>
      </w:r>
      <w:r w:rsidR="000973D0">
        <w:rPr>
          <w:b/>
          <w:bCs/>
          <w:lang w:bidi="cs-CZ"/>
        </w:rPr>
        <w:t>stejnokrojov</w:t>
      </w:r>
      <w:r w:rsidR="00973AFD">
        <w:rPr>
          <w:b/>
          <w:bCs/>
          <w:lang w:bidi="cs-CZ"/>
        </w:rPr>
        <w:t>ý p</w:t>
      </w:r>
      <w:r w:rsidR="00EB3C91">
        <w:rPr>
          <w:b/>
          <w:bCs/>
          <w:lang w:bidi="cs-CZ"/>
        </w:rPr>
        <w:t>ánský</w:t>
      </w:r>
      <w:r w:rsidR="00245298" w:rsidRPr="00245298">
        <w:rPr>
          <w:b/>
          <w:bCs/>
          <w:lang w:bidi="cs-CZ"/>
        </w:rPr>
        <w:t xml:space="preserve"> </w:t>
      </w:r>
      <w:r w:rsidR="007C0ECB" w:rsidRPr="00C27A04">
        <w:rPr>
          <w:bCs/>
          <w:lang w:bidi="cs-CZ"/>
        </w:rPr>
        <w:t xml:space="preserve">(dále jen </w:t>
      </w:r>
      <w:r w:rsidRPr="00C27A04">
        <w:rPr>
          <w:bCs/>
          <w:lang w:bidi="cs-CZ"/>
        </w:rPr>
        <w:t>svetr</w:t>
      </w:r>
      <w:r w:rsidR="007C0ECB" w:rsidRPr="00C27A04">
        <w:rPr>
          <w:bCs/>
          <w:lang w:bidi="cs-CZ"/>
        </w:rPr>
        <w:t>)</w:t>
      </w:r>
      <w:r w:rsidR="007C0ECB">
        <w:rPr>
          <w:b/>
          <w:bCs/>
          <w:lang w:bidi="cs-CZ"/>
        </w:rPr>
        <w:t xml:space="preserve"> </w:t>
      </w:r>
      <w:r w:rsidR="007C0ECB">
        <w:rPr>
          <w:lang w:bidi="cs-CZ"/>
        </w:rPr>
        <w:t>je celoroční oděvní součástkou pro horní část těla stejnokroje</w:t>
      </w:r>
      <w:r w:rsidR="007C0ECB" w:rsidRPr="00245298">
        <w:rPr>
          <w:lang w:bidi="cs-CZ"/>
        </w:rPr>
        <w:t xml:space="preserve"> Správ</w:t>
      </w:r>
      <w:r w:rsidR="007C0ECB">
        <w:rPr>
          <w:lang w:bidi="cs-CZ"/>
        </w:rPr>
        <w:t>y</w:t>
      </w:r>
      <w:r w:rsidR="007C0ECB" w:rsidRPr="00245298">
        <w:rPr>
          <w:lang w:bidi="cs-CZ"/>
        </w:rPr>
        <w:t xml:space="preserve"> železniční do</w:t>
      </w:r>
      <w:r w:rsidR="007C0ECB">
        <w:rPr>
          <w:lang w:bidi="cs-CZ"/>
        </w:rPr>
        <w:t xml:space="preserve">pravní cesty (dále jen SŽDC) pro </w:t>
      </w:r>
      <w:r w:rsidR="00EB3C91">
        <w:rPr>
          <w:lang w:bidi="cs-CZ"/>
        </w:rPr>
        <w:t>muže</w:t>
      </w:r>
      <w:r w:rsidR="007C0ECB">
        <w:rPr>
          <w:lang w:bidi="cs-CZ"/>
        </w:rPr>
        <w:t>.</w:t>
      </w:r>
    </w:p>
    <w:p w:rsidR="00245298" w:rsidRPr="00245298" w:rsidRDefault="00245298" w:rsidP="00DE783E">
      <w:pPr>
        <w:spacing w:after="0" w:line="276" w:lineRule="auto"/>
        <w:jc w:val="both"/>
        <w:rPr>
          <w:lang w:bidi="cs-CZ"/>
        </w:rPr>
      </w:pPr>
    </w:p>
    <w:p w:rsidR="00245298" w:rsidRPr="00245298" w:rsidRDefault="00245298" w:rsidP="00DE783E">
      <w:pPr>
        <w:numPr>
          <w:ilvl w:val="0"/>
          <w:numId w:val="1"/>
        </w:numPr>
        <w:spacing w:after="0" w:line="276" w:lineRule="auto"/>
        <w:jc w:val="both"/>
        <w:rPr>
          <w:b/>
          <w:bCs/>
          <w:lang w:bidi="cs-CZ"/>
        </w:rPr>
      </w:pPr>
      <w:bookmarkStart w:id="1" w:name="bookmark2"/>
      <w:r w:rsidRPr="00245298">
        <w:rPr>
          <w:b/>
          <w:bCs/>
          <w:lang w:bidi="cs-CZ"/>
        </w:rPr>
        <w:t>TECHNICKÝ POPIS</w:t>
      </w:r>
      <w:bookmarkEnd w:id="1"/>
    </w:p>
    <w:p w:rsidR="00DE783E" w:rsidRDefault="00DE783E" w:rsidP="00DE783E">
      <w:pPr>
        <w:spacing w:after="0" w:line="276" w:lineRule="auto"/>
        <w:jc w:val="both"/>
        <w:rPr>
          <w:lang w:bidi="cs-CZ"/>
        </w:rPr>
      </w:pPr>
    </w:p>
    <w:p w:rsidR="009217EB" w:rsidRPr="009217EB" w:rsidRDefault="009217EB" w:rsidP="009217EB">
      <w:pPr>
        <w:spacing w:after="0" w:line="276" w:lineRule="auto"/>
        <w:jc w:val="both"/>
        <w:rPr>
          <w:b/>
          <w:lang w:bidi="cs-CZ"/>
        </w:rPr>
      </w:pPr>
      <w:r w:rsidRPr="009217EB">
        <w:rPr>
          <w:b/>
          <w:lang w:bidi="cs-CZ"/>
        </w:rPr>
        <w:t>Technický popis</w:t>
      </w:r>
      <w:r w:rsidRPr="009217EB">
        <w:rPr>
          <w:b/>
          <w:lang w:bidi="cs-CZ"/>
        </w:rPr>
        <w:tab/>
      </w:r>
    </w:p>
    <w:p w:rsidR="009217EB" w:rsidRPr="009217EB" w:rsidRDefault="009217EB" w:rsidP="009217EB">
      <w:pPr>
        <w:spacing w:after="0" w:line="276" w:lineRule="auto"/>
        <w:jc w:val="both"/>
        <w:rPr>
          <w:lang w:bidi="cs-CZ"/>
        </w:rPr>
      </w:pPr>
      <w:r w:rsidRPr="009217EB">
        <w:rPr>
          <w:lang w:bidi="cs-CZ"/>
        </w:rPr>
        <w:t xml:space="preserve">Pánský svetr je přiléhavého střihu, s dlouhými rukávy, na oblékání přes hlavu. Výstřih </w:t>
      </w:r>
      <w:r w:rsidRPr="009217EB">
        <w:rPr>
          <w:lang w:bidi="cs-CZ"/>
        </w:rPr>
        <w:br/>
        <w:t>je do tvaru "V".</w:t>
      </w:r>
      <w:r w:rsidRPr="009217EB">
        <w:rPr>
          <w:lang w:bidi="cs-CZ"/>
        </w:rPr>
        <w:tab/>
      </w:r>
    </w:p>
    <w:p w:rsidR="009217EB" w:rsidRPr="009217EB" w:rsidRDefault="009217EB" w:rsidP="009217EB">
      <w:pPr>
        <w:spacing w:after="0" w:line="276" w:lineRule="auto"/>
        <w:jc w:val="both"/>
        <w:rPr>
          <w:b/>
          <w:lang w:bidi="cs-CZ"/>
        </w:rPr>
      </w:pPr>
    </w:p>
    <w:p w:rsidR="009217EB" w:rsidRPr="009217EB" w:rsidRDefault="009217EB" w:rsidP="009217EB">
      <w:pPr>
        <w:spacing w:after="0" w:line="276" w:lineRule="auto"/>
        <w:jc w:val="both"/>
        <w:rPr>
          <w:b/>
          <w:lang w:bidi="cs-CZ"/>
        </w:rPr>
      </w:pPr>
      <w:r w:rsidRPr="009217EB">
        <w:rPr>
          <w:b/>
          <w:lang w:bidi="cs-CZ"/>
        </w:rPr>
        <w:t>Přední díl</w:t>
      </w:r>
    </w:p>
    <w:p w:rsidR="009217EB" w:rsidRPr="009217EB" w:rsidRDefault="009217EB" w:rsidP="009217EB">
      <w:pPr>
        <w:spacing w:after="0" w:line="276" w:lineRule="auto"/>
        <w:jc w:val="both"/>
        <w:rPr>
          <w:b/>
          <w:lang w:bidi="cs-CZ"/>
        </w:rPr>
      </w:pPr>
      <w:r w:rsidRPr="009217EB">
        <w:rPr>
          <w:lang w:bidi="cs-CZ"/>
        </w:rPr>
        <w:t xml:space="preserve">Přední díl je hladký s výstřihem do "V", se spodním okrajem s patentem žebro 1:1 50 mm vysoký, v barvě PANTONE 19-4010 TC. Boční záložky, </w:t>
      </w:r>
      <w:proofErr w:type="spellStart"/>
      <w:r w:rsidRPr="009217EB">
        <w:rPr>
          <w:lang w:bidi="cs-CZ"/>
        </w:rPr>
        <w:t>náramenice</w:t>
      </w:r>
      <w:proofErr w:type="spellEnd"/>
      <w:r w:rsidRPr="009217EB">
        <w:rPr>
          <w:lang w:bidi="cs-CZ"/>
        </w:rPr>
        <w:t xml:space="preserve"> a rukávové průramky jsou spojeny metodou řetízkování. Základní úplet je </w:t>
      </w:r>
      <w:r w:rsidR="008D3884">
        <w:rPr>
          <w:lang w:bidi="cs-CZ"/>
        </w:rPr>
        <w:t>dvoubarevná žakárová</w:t>
      </w:r>
      <w:r w:rsidRPr="009217EB">
        <w:rPr>
          <w:lang w:bidi="cs-CZ"/>
        </w:rPr>
        <w:t xml:space="preserve"> vazba.</w:t>
      </w:r>
    </w:p>
    <w:p w:rsidR="009217EB" w:rsidRPr="009217EB" w:rsidRDefault="009217EB" w:rsidP="009217EB">
      <w:pPr>
        <w:spacing w:after="0" w:line="276" w:lineRule="auto"/>
        <w:jc w:val="both"/>
        <w:rPr>
          <w:lang w:bidi="cs-CZ"/>
        </w:rPr>
      </w:pPr>
    </w:p>
    <w:p w:rsidR="009217EB" w:rsidRPr="009217EB" w:rsidRDefault="009217EB" w:rsidP="009217EB">
      <w:pPr>
        <w:spacing w:after="0" w:line="276" w:lineRule="auto"/>
        <w:jc w:val="both"/>
        <w:rPr>
          <w:b/>
          <w:lang w:bidi="cs-CZ"/>
        </w:rPr>
      </w:pPr>
      <w:r w:rsidRPr="009217EB">
        <w:rPr>
          <w:b/>
          <w:lang w:bidi="cs-CZ"/>
        </w:rPr>
        <w:t xml:space="preserve">Zadní díl </w:t>
      </w:r>
    </w:p>
    <w:p w:rsidR="009217EB" w:rsidRPr="009217EB" w:rsidRDefault="009217EB" w:rsidP="009217EB">
      <w:pPr>
        <w:spacing w:after="0" w:line="276" w:lineRule="auto"/>
        <w:jc w:val="both"/>
        <w:rPr>
          <w:b/>
          <w:lang w:bidi="cs-CZ"/>
        </w:rPr>
      </w:pPr>
      <w:r w:rsidRPr="009217EB">
        <w:rPr>
          <w:lang w:bidi="cs-CZ"/>
        </w:rPr>
        <w:t xml:space="preserve">Zadní díl je hladký se spodním okrajem s patentem žebro 1:1 50 mm vysoký, v barvě PANTONE 19-4010 TC. Základní úplet je </w:t>
      </w:r>
      <w:r w:rsidR="008D3884" w:rsidRPr="008D3884">
        <w:rPr>
          <w:lang w:bidi="cs-CZ"/>
        </w:rPr>
        <w:t>dvoubarevná žakárová</w:t>
      </w:r>
      <w:r w:rsidRPr="009217EB">
        <w:rPr>
          <w:lang w:bidi="cs-CZ"/>
        </w:rPr>
        <w:t xml:space="preserve"> vazba. </w:t>
      </w:r>
    </w:p>
    <w:p w:rsidR="009217EB" w:rsidRPr="009217EB" w:rsidRDefault="009217EB" w:rsidP="009217EB">
      <w:pPr>
        <w:spacing w:after="0" w:line="276" w:lineRule="auto"/>
        <w:jc w:val="both"/>
        <w:rPr>
          <w:lang w:bidi="cs-CZ"/>
        </w:rPr>
      </w:pPr>
    </w:p>
    <w:p w:rsidR="009217EB" w:rsidRPr="009217EB" w:rsidRDefault="009217EB" w:rsidP="009217EB">
      <w:pPr>
        <w:spacing w:after="0" w:line="276" w:lineRule="auto"/>
        <w:jc w:val="both"/>
        <w:rPr>
          <w:b/>
          <w:lang w:bidi="cs-CZ"/>
        </w:rPr>
      </w:pPr>
      <w:r w:rsidRPr="009217EB">
        <w:rPr>
          <w:b/>
          <w:lang w:bidi="cs-CZ"/>
        </w:rPr>
        <w:t>Lem výstřihu</w:t>
      </w:r>
    </w:p>
    <w:p w:rsidR="009217EB" w:rsidRPr="009217EB" w:rsidRDefault="009217EB" w:rsidP="009217EB">
      <w:pPr>
        <w:spacing w:after="0" w:line="276" w:lineRule="auto"/>
        <w:jc w:val="both"/>
        <w:rPr>
          <w:lang w:bidi="cs-CZ"/>
        </w:rPr>
      </w:pPr>
      <w:r w:rsidRPr="009217EB">
        <w:rPr>
          <w:lang w:bidi="cs-CZ"/>
        </w:rPr>
        <w:t xml:space="preserve">Lem je z úpletu žebro 1:1, hotová šíře je 2cm. Lem je spojen s dílem metodou řetízkování a je </w:t>
      </w:r>
      <w:proofErr w:type="spellStart"/>
      <w:r w:rsidRPr="009217EB">
        <w:rPr>
          <w:lang w:bidi="cs-CZ"/>
        </w:rPr>
        <w:t>odšitý</w:t>
      </w:r>
      <w:proofErr w:type="spellEnd"/>
      <w:r w:rsidRPr="009217EB">
        <w:rPr>
          <w:lang w:bidi="cs-CZ"/>
        </w:rPr>
        <w:t xml:space="preserve"> do špičky. Lem v barvě PANTONE 19-4010 TC.</w:t>
      </w:r>
    </w:p>
    <w:p w:rsidR="009217EB" w:rsidRPr="009217EB" w:rsidRDefault="009217EB" w:rsidP="009217EB">
      <w:pPr>
        <w:spacing w:after="0" w:line="276" w:lineRule="auto"/>
        <w:jc w:val="both"/>
        <w:rPr>
          <w:lang w:bidi="cs-CZ"/>
        </w:rPr>
      </w:pPr>
    </w:p>
    <w:p w:rsidR="009217EB" w:rsidRPr="009217EB" w:rsidRDefault="009217EB" w:rsidP="009217EB">
      <w:pPr>
        <w:spacing w:after="0" w:line="276" w:lineRule="auto"/>
        <w:jc w:val="both"/>
        <w:rPr>
          <w:b/>
          <w:lang w:bidi="cs-CZ"/>
        </w:rPr>
      </w:pPr>
      <w:r w:rsidRPr="009217EB">
        <w:rPr>
          <w:b/>
          <w:lang w:bidi="cs-CZ"/>
        </w:rPr>
        <w:t>Rukávy</w:t>
      </w:r>
      <w:r w:rsidRPr="009217EB">
        <w:rPr>
          <w:b/>
          <w:lang w:bidi="cs-CZ"/>
        </w:rPr>
        <w:tab/>
      </w:r>
    </w:p>
    <w:p w:rsidR="009217EB" w:rsidRPr="009217EB" w:rsidRDefault="009217EB" w:rsidP="009217EB">
      <w:pPr>
        <w:spacing w:after="0" w:line="276" w:lineRule="auto"/>
        <w:jc w:val="both"/>
        <w:rPr>
          <w:lang w:bidi="cs-CZ"/>
        </w:rPr>
      </w:pPr>
      <w:r w:rsidRPr="009217EB">
        <w:rPr>
          <w:lang w:bidi="cs-CZ"/>
        </w:rPr>
        <w:t xml:space="preserve">Rukávy jsou jednodílné, dlouhé, pletené základním úpletem </w:t>
      </w:r>
      <w:r w:rsidR="00070E47">
        <w:rPr>
          <w:lang w:bidi="cs-CZ"/>
        </w:rPr>
        <w:t>dvoubarevn</w:t>
      </w:r>
      <w:r w:rsidR="000B472C">
        <w:rPr>
          <w:lang w:bidi="cs-CZ"/>
        </w:rPr>
        <w:t>á</w:t>
      </w:r>
      <w:r w:rsidR="00070E47">
        <w:rPr>
          <w:lang w:bidi="cs-CZ"/>
        </w:rPr>
        <w:t xml:space="preserve"> žakárov</w:t>
      </w:r>
      <w:r w:rsidR="000B472C">
        <w:rPr>
          <w:lang w:bidi="cs-CZ"/>
        </w:rPr>
        <w:t>á</w:t>
      </w:r>
      <w:r w:rsidRPr="009217EB">
        <w:rPr>
          <w:lang w:bidi="cs-CZ"/>
        </w:rPr>
        <w:t xml:space="preserve"> vazb</w:t>
      </w:r>
      <w:r w:rsidR="000B472C">
        <w:rPr>
          <w:lang w:bidi="cs-CZ"/>
        </w:rPr>
        <w:t>a</w:t>
      </w:r>
      <w:r w:rsidRPr="009217EB">
        <w:rPr>
          <w:lang w:bidi="cs-CZ"/>
        </w:rPr>
        <w:t xml:space="preserve">. Jsou ukončeny patentem žebro 1:1 50 mm vysokým, v barvě PANTONE 19-4010 TC. Rukávy jsou v hlavici a na bočních švech spojeny technologií řetízkování. </w:t>
      </w:r>
      <w:r w:rsidRPr="009217EB">
        <w:rPr>
          <w:lang w:bidi="cs-CZ"/>
        </w:rPr>
        <w:tab/>
      </w:r>
    </w:p>
    <w:p w:rsidR="00973AFD" w:rsidRPr="00973AFD" w:rsidRDefault="00973AFD" w:rsidP="00973AFD">
      <w:pPr>
        <w:spacing w:after="0" w:line="276" w:lineRule="auto"/>
        <w:jc w:val="both"/>
        <w:rPr>
          <w:b/>
          <w:lang w:bidi="cs-CZ"/>
        </w:rPr>
      </w:pPr>
    </w:p>
    <w:p w:rsidR="00973AFD" w:rsidRPr="00973AFD" w:rsidRDefault="00973AFD" w:rsidP="00973AFD">
      <w:pPr>
        <w:spacing w:after="0" w:line="276" w:lineRule="auto"/>
        <w:jc w:val="both"/>
        <w:rPr>
          <w:b/>
          <w:lang w:bidi="cs-CZ"/>
        </w:rPr>
      </w:pPr>
      <w:r w:rsidRPr="00973AFD">
        <w:rPr>
          <w:b/>
          <w:lang w:bidi="cs-CZ"/>
        </w:rPr>
        <w:t>Logo</w:t>
      </w:r>
    </w:p>
    <w:p w:rsidR="00973AFD" w:rsidRPr="00973AFD" w:rsidRDefault="00973AFD" w:rsidP="00973AFD">
      <w:pPr>
        <w:spacing w:after="0" w:line="276" w:lineRule="auto"/>
        <w:jc w:val="both"/>
        <w:rPr>
          <w:lang w:bidi="cs-CZ"/>
        </w:rPr>
      </w:pPr>
      <w:r w:rsidRPr="00973AFD">
        <w:rPr>
          <w:lang w:bidi="cs-CZ"/>
        </w:rPr>
        <w:t>Na levé straně předního dílu je cca 2 cm od patentu a cca 6,5cm od boč</w:t>
      </w:r>
      <w:r>
        <w:rPr>
          <w:lang w:bidi="cs-CZ"/>
        </w:rPr>
        <w:t>ního kraje umístěno logo "SŽDC“</w:t>
      </w:r>
      <w:r w:rsidRPr="00973AFD">
        <w:rPr>
          <w:sz w:val="18"/>
          <w:szCs w:val="18"/>
          <w:lang w:bidi="cs-CZ"/>
        </w:rPr>
        <w:t xml:space="preserve"> </w:t>
      </w:r>
      <w:r w:rsidRPr="00973AFD">
        <w:rPr>
          <w:lang w:bidi="cs-CZ"/>
        </w:rPr>
        <w:t xml:space="preserve">v oranžové barvě </w:t>
      </w:r>
      <w:proofErr w:type="spellStart"/>
      <w:r w:rsidRPr="00973AFD">
        <w:rPr>
          <w:lang w:bidi="cs-CZ"/>
        </w:rPr>
        <w:t>Pantone</w:t>
      </w:r>
      <w:proofErr w:type="spellEnd"/>
      <w:r w:rsidRPr="00973AFD">
        <w:rPr>
          <w:lang w:bidi="cs-CZ"/>
        </w:rPr>
        <w:t xml:space="preserve"> 151C/ oranžová nit 1333 </w:t>
      </w:r>
      <w:proofErr w:type="spellStart"/>
      <w:r w:rsidRPr="00973AFD">
        <w:rPr>
          <w:lang w:bidi="cs-CZ"/>
        </w:rPr>
        <w:t>Marathon</w:t>
      </w:r>
      <w:proofErr w:type="spellEnd"/>
      <w:r>
        <w:rPr>
          <w:lang w:bidi="cs-CZ"/>
        </w:rPr>
        <w:t xml:space="preserve">. </w:t>
      </w:r>
      <w:r w:rsidR="00FE73E7">
        <w:rPr>
          <w:lang w:bidi="cs-CZ"/>
        </w:rPr>
        <w:t>Výška loga 40mm</w:t>
      </w:r>
      <w:r w:rsidRPr="00973AFD">
        <w:rPr>
          <w:lang w:bidi="cs-CZ"/>
        </w:rPr>
        <w:t>.</w:t>
      </w:r>
    </w:p>
    <w:p w:rsidR="000973D0" w:rsidRDefault="000973D0" w:rsidP="000973D0">
      <w:pPr>
        <w:spacing w:after="0" w:line="276" w:lineRule="auto"/>
        <w:jc w:val="both"/>
        <w:rPr>
          <w:lang w:bidi="cs-CZ"/>
        </w:rPr>
      </w:pPr>
    </w:p>
    <w:p w:rsidR="00245298" w:rsidRDefault="00245298" w:rsidP="00DE783E">
      <w:pPr>
        <w:numPr>
          <w:ilvl w:val="0"/>
          <w:numId w:val="1"/>
        </w:numPr>
        <w:spacing w:after="0" w:line="276" w:lineRule="auto"/>
        <w:jc w:val="both"/>
        <w:rPr>
          <w:b/>
          <w:bCs/>
          <w:lang w:bidi="cs-CZ"/>
        </w:rPr>
      </w:pPr>
      <w:bookmarkStart w:id="2" w:name="bookmark3"/>
      <w:r w:rsidRPr="000973D0">
        <w:rPr>
          <w:b/>
          <w:bCs/>
          <w:lang w:bidi="cs-CZ"/>
        </w:rPr>
        <w:t>ZPRACOVÁNÍ</w:t>
      </w:r>
      <w:bookmarkEnd w:id="2"/>
    </w:p>
    <w:p w:rsidR="00973AFD" w:rsidRDefault="00973AFD" w:rsidP="00973AFD">
      <w:pPr>
        <w:spacing w:after="0" w:line="276" w:lineRule="auto"/>
        <w:jc w:val="both"/>
        <w:rPr>
          <w:b/>
          <w:bCs/>
          <w:lang w:bidi="cs-CZ"/>
        </w:rPr>
      </w:pPr>
    </w:p>
    <w:p w:rsidR="009217EB" w:rsidRPr="00860CF2" w:rsidRDefault="009217EB" w:rsidP="009217EB">
      <w:pPr>
        <w:numPr>
          <w:ilvl w:val="0"/>
          <w:numId w:val="19"/>
        </w:numPr>
        <w:spacing w:after="0" w:line="276" w:lineRule="auto"/>
        <w:contextualSpacing/>
        <w:jc w:val="both"/>
        <w:rPr>
          <w:bCs/>
          <w:lang w:bidi="cs-CZ"/>
        </w:rPr>
      </w:pPr>
      <w:bookmarkStart w:id="3" w:name="bookmark10"/>
      <w:r w:rsidRPr="00860CF2">
        <w:rPr>
          <w:bCs/>
          <w:lang w:bidi="cs-CZ"/>
        </w:rPr>
        <w:t>hustota stehů musí odpovídat požadovanému materiálu – jeho pružnosti, druhu stehu a šicímu materiálu</w:t>
      </w:r>
    </w:p>
    <w:p w:rsidR="009217EB" w:rsidRPr="00860CF2" w:rsidRDefault="009217EB" w:rsidP="009217EB">
      <w:pPr>
        <w:numPr>
          <w:ilvl w:val="0"/>
          <w:numId w:val="19"/>
        </w:numPr>
        <w:spacing w:after="0" w:line="276" w:lineRule="auto"/>
        <w:contextualSpacing/>
        <w:jc w:val="both"/>
        <w:rPr>
          <w:bCs/>
          <w:lang w:bidi="cs-CZ"/>
        </w:rPr>
      </w:pPr>
      <w:r w:rsidRPr="00860CF2">
        <w:rPr>
          <w:bCs/>
          <w:lang w:bidi="cs-CZ"/>
        </w:rPr>
        <w:t xml:space="preserve">všechny švy a koncové záložky musí být rovné s pravidelnými rovnoměrně utaženými stehy </w:t>
      </w:r>
      <w:r w:rsidRPr="00860CF2">
        <w:rPr>
          <w:bCs/>
          <w:lang w:bidi="cs-CZ"/>
        </w:rPr>
        <w:br/>
        <w:t>a natolik pružné, aby se při natažení úpletu netrhaly</w:t>
      </w:r>
    </w:p>
    <w:p w:rsidR="009217EB" w:rsidRPr="00860CF2" w:rsidRDefault="009217EB" w:rsidP="009217EB">
      <w:pPr>
        <w:numPr>
          <w:ilvl w:val="0"/>
          <w:numId w:val="19"/>
        </w:numPr>
        <w:spacing w:after="0" w:line="276" w:lineRule="auto"/>
        <w:contextualSpacing/>
        <w:jc w:val="both"/>
        <w:rPr>
          <w:bCs/>
          <w:lang w:bidi="cs-CZ"/>
        </w:rPr>
      </w:pPr>
      <w:r w:rsidRPr="00860CF2">
        <w:rPr>
          <w:bCs/>
          <w:lang w:bidi="cs-CZ"/>
        </w:rPr>
        <w:t>konce šití musí být zajištěny proti párání a konce nití odstřiženy</w:t>
      </w:r>
    </w:p>
    <w:p w:rsidR="009217EB" w:rsidRPr="00860CF2" w:rsidRDefault="009217EB" w:rsidP="009217EB">
      <w:pPr>
        <w:numPr>
          <w:ilvl w:val="0"/>
          <w:numId w:val="19"/>
        </w:numPr>
        <w:spacing w:after="0" w:line="276" w:lineRule="auto"/>
        <w:contextualSpacing/>
        <w:jc w:val="both"/>
        <w:rPr>
          <w:bCs/>
          <w:lang w:bidi="cs-CZ"/>
        </w:rPr>
      </w:pPr>
      <w:r w:rsidRPr="00860CF2">
        <w:rPr>
          <w:bCs/>
          <w:lang w:bidi="cs-CZ"/>
        </w:rPr>
        <w:t>etiketa s ošetřujícími symboly je všitá na střed průkrčníku zadního dílu</w:t>
      </w:r>
    </w:p>
    <w:p w:rsidR="009217EB" w:rsidRPr="00860CF2" w:rsidRDefault="009217EB" w:rsidP="009217EB">
      <w:pPr>
        <w:numPr>
          <w:ilvl w:val="0"/>
          <w:numId w:val="19"/>
        </w:numPr>
        <w:spacing w:after="0" w:line="276" w:lineRule="auto"/>
        <w:contextualSpacing/>
        <w:jc w:val="both"/>
        <w:rPr>
          <w:bCs/>
          <w:lang w:bidi="cs-CZ"/>
        </w:rPr>
      </w:pPr>
      <w:r w:rsidRPr="00860CF2">
        <w:rPr>
          <w:bCs/>
          <w:lang w:bidi="cs-CZ"/>
        </w:rPr>
        <w:t>rozměry uvedené v textu specifikace jsou závazné (s přípustnou tolerancí pro pletené výrobky)</w:t>
      </w:r>
    </w:p>
    <w:p w:rsidR="009217EB" w:rsidRDefault="009217EB" w:rsidP="009217EB">
      <w:pPr>
        <w:spacing w:after="0" w:line="276" w:lineRule="auto"/>
        <w:ind w:left="720"/>
        <w:contextualSpacing/>
        <w:jc w:val="both"/>
        <w:rPr>
          <w:bCs/>
          <w:lang w:bidi="cs-CZ"/>
        </w:rPr>
      </w:pPr>
    </w:p>
    <w:p w:rsidR="00FE73E7" w:rsidRDefault="00FE73E7" w:rsidP="009217EB">
      <w:pPr>
        <w:spacing w:after="0" w:line="276" w:lineRule="auto"/>
        <w:ind w:left="720"/>
        <w:contextualSpacing/>
        <w:jc w:val="both"/>
        <w:rPr>
          <w:bCs/>
          <w:lang w:bidi="cs-CZ"/>
        </w:rPr>
      </w:pPr>
    </w:p>
    <w:p w:rsidR="00FE73E7" w:rsidRPr="00860CF2" w:rsidRDefault="00FE73E7" w:rsidP="009217EB">
      <w:pPr>
        <w:spacing w:after="0" w:line="276" w:lineRule="auto"/>
        <w:ind w:left="720"/>
        <w:contextualSpacing/>
        <w:jc w:val="both"/>
        <w:rPr>
          <w:bCs/>
          <w:lang w:bidi="cs-CZ"/>
        </w:rPr>
      </w:pPr>
    </w:p>
    <w:p w:rsidR="009217EB" w:rsidRPr="00860CF2" w:rsidRDefault="009217EB" w:rsidP="009217EB">
      <w:pPr>
        <w:numPr>
          <w:ilvl w:val="0"/>
          <w:numId w:val="1"/>
        </w:numPr>
        <w:spacing w:after="0" w:line="276" w:lineRule="auto"/>
        <w:rPr>
          <w:b/>
          <w:bCs/>
          <w:lang w:bidi="cs-CZ"/>
        </w:rPr>
      </w:pPr>
      <w:bookmarkStart w:id="4" w:name="bookmark4"/>
      <w:r w:rsidRPr="00860CF2">
        <w:rPr>
          <w:b/>
          <w:bCs/>
          <w:lang w:bidi="cs-CZ"/>
        </w:rPr>
        <w:lastRenderedPageBreak/>
        <w:t>SPECIFIKACE POUŽITÉHO MATERIÁLU</w:t>
      </w:r>
      <w:bookmarkEnd w:id="4"/>
    </w:p>
    <w:p w:rsidR="009217EB" w:rsidRPr="00860CF2" w:rsidRDefault="009217EB" w:rsidP="009217EB">
      <w:pPr>
        <w:spacing w:after="0" w:line="276" w:lineRule="auto"/>
        <w:rPr>
          <w:b/>
          <w:bCs/>
          <w:lang w:bidi="cs-CZ"/>
        </w:rPr>
      </w:pPr>
    </w:p>
    <w:p w:rsidR="009217EB" w:rsidRPr="00860CF2" w:rsidRDefault="009217EB" w:rsidP="009217EB">
      <w:pPr>
        <w:numPr>
          <w:ilvl w:val="1"/>
          <w:numId w:val="1"/>
        </w:numPr>
        <w:spacing w:after="0" w:line="276" w:lineRule="auto"/>
        <w:rPr>
          <w:lang w:bidi="cs-CZ"/>
        </w:rPr>
      </w:pPr>
      <w:r w:rsidRPr="00860CF2">
        <w:rPr>
          <w:lang w:bidi="cs-CZ"/>
        </w:rPr>
        <w:t>Soupis materiálu</w:t>
      </w:r>
    </w:p>
    <w:p w:rsidR="009217EB" w:rsidRDefault="009217EB" w:rsidP="009217EB">
      <w:pPr>
        <w:spacing w:after="0"/>
        <w:rPr>
          <w:lang w:bidi="cs-CZ"/>
        </w:rPr>
      </w:pPr>
    </w:p>
    <w:tbl>
      <w:tblPr>
        <w:tblOverlap w:val="neve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820"/>
        <w:gridCol w:w="4115"/>
      </w:tblGrid>
      <w:tr w:rsidR="00FE73E7" w:rsidRPr="00C94E40" w:rsidTr="008D1A2D">
        <w:trPr>
          <w:trHeight w:val="340"/>
          <w:jc w:val="center"/>
        </w:trPr>
        <w:tc>
          <w:tcPr>
            <w:tcW w:w="4820" w:type="dxa"/>
            <w:shd w:val="clear" w:color="auto" w:fill="FFFFFF"/>
            <w:vAlign w:val="center"/>
          </w:tcPr>
          <w:p w:rsidR="00FE73E7" w:rsidRPr="00C94E40" w:rsidRDefault="00FE73E7" w:rsidP="008D1A2D">
            <w:pPr>
              <w:spacing w:after="0"/>
              <w:rPr>
                <w:lang w:bidi="cs-CZ"/>
              </w:rPr>
            </w:pPr>
            <w:r w:rsidRPr="00C94E40">
              <w:rPr>
                <w:b/>
                <w:bCs/>
                <w:lang w:bidi="cs-CZ"/>
              </w:rPr>
              <w:t>Materiál</w:t>
            </w:r>
          </w:p>
        </w:tc>
        <w:tc>
          <w:tcPr>
            <w:tcW w:w="4115" w:type="dxa"/>
            <w:shd w:val="clear" w:color="auto" w:fill="FFFFFF"/>
            <w:vAlign w:val="center"/>
          </w:tcPr>
          <w:p w:rsidR="00FE73E7" w:rsidRPr="00C94E40" w:rsidRDefault="00FE73E7" w:rsidP="008D1A2D">
            <w:pPr>
              <w:spacing w:after="0"/>
              <w:rPr>
                <w:lang w:bidi="cs-CZ"/>
              </w:rPr>
            </w:pPr>
            <w:r w:rsidRPr="00C94E40">
              <w:rPr>
                <w:b/>
                <w:bCs/>
                <w:lang w:bidi="cs-CZ"/>
              </w:rPr>
              <w:t>Složení</w:t>
            </w:r>
          </w:p>
        </w:tc>
      </w:tr>
      <w:tr w:rsidR="00FE73E7" w:rsidRPr="00C94E40" w:rsidTr="008D1A2D">
        <w:trPr>
          <w:trHeight w:val="340"/>
          <w:jc w:val="center"/>
        </w:trPr>
        <w:tc>
          <w:tcPr>
            <w:tcW w:w="4820" w:type="dxa"/>
            <w:shd w:val="clear" w:color="auto" w:fill="FFFFFF"/>
            <w:vAlign w:val="center"/>
          </w:tcPr>
          <w:p w:rsidR="002C670A" w:rsidRDefault="002C670A" w:rsidP="008D1A2D">
            <w:pPr>
              <w:spacing w:after="0"/>
              <w:rPr>
                <w:b/>
                <w:bCs/>
                <w:lang w:bidi="cs-CZ"/>
              </w:rPr>
            </w:pPr>
          </w:p>
          <w:p w:rsidR="002C670A" w:rsidRDefault="002C670A" w:rsidP="008D1A2D">
            <w:pPr>
              <w:spacing w:after="0"/>
              <w:rPr>
                <w:b/>
                <w:bCs/>
                <w:lang w:bidi="cs-CZ"/>
              </w:rPr>
            </w:pPr>
          </w:p>
          <w:p w:rsidR="00FE73E7" w:rsidRPr="00C94E40" w:rsidRDefault="00FE73E7" w:rsidP="008D1A2D">
            <w:pPr>
              <w:spacing w:after="0"/>
              <w:rPr>
                <w:lang w:bidi="cs-CZ"/>
              </w:rPr>
            </w:pPr>
            <w:r w:rsidRPr="00C94E40">
              <w:rPr>
                <w:b/>
                <w:bCs/>
                <w:lang w:bidi="cs-CZ"/>
              </w:rPr>
              <w:t>Vrchový materiál</w:t>
            </w:r>
          </w:p>
          <w:p w:rsidR="00FE73E7" w:rsidRPr="00C94E40" w:rsidRDefault="00FE73E7" w:rsidP="008D1A2D">
            <w:pPr>
              <w:spacing w:after="0"/>
              <w:rPr>
                <w:lang w:bidi="cs-CZ"/>
              </w:rPr>
            </w:pPr>
            <w:r w:rsidRPr="00C94E40">
              <w:rPr>
                <w:lang w:bidi="cs-CZ"/>
              </w:rPr>
              <w:t xml:space="preserve">barva </w:t>
            </w:r>
            <w:proofErr w:type="spellStart"/>
            <w:r w:rsidRPr="00C94E40">
              <w:rPr>
                <w:lang w:bidi="cs-CZ"/>
              </w:rPr>
              <w:t>tm</w:t>
            </w:r>
            <w:proofErr w:type="spellEnd"/>
            <w:r w:rsidRPr="00C94E40">
              <w:rPr>
                <w:lang w:bidi="cs-CZ"/>
              </w:rPr>
              <w:t>. modrá a tyrkysová dle barevnice PANTONE</w:t>
            </w:r>
          </w:p>
          <w:p w:rsidR="00FE73E7" w:rsidRPr="00C94E40" w:rsidRDefault="00FE73E7" w:rsidP="008D1A2D">
            <w:pPr>
              <w:spacing w:after="0"/>
              <w:rPr>
                <w:b/>
                <w:lang w:bidi="cs-CZ"/>
              </w:rPr>
            </w:pPr>
            <w:r w:rsidRPr="00C94E40">
              <w:rPr>
                <w:lang w:bidi="cs-CZ"/>
              </w:rPr>
              <w:t>vazba dvoubarevný žakár</w:t>
            </w:r>
          </w:p>
          <w:p w:rsidR="00FE73E7" w:rsidRPr="00C94E40" w:rsidRDefault="00FE73E7" w:rsidP="008D1A2D">
            <w:pPr>
              <w:spacing w:after="0"/>
              <w:rPr>
                <w:lang w:bidi="cs-CZ"/>
              </w:rPr>
            </w:pPr>
            <w:r w:rsidRPr="00C94E40">
              <w:rPr>
                <w:lang w:bidi="cs-CZ"/>
              </w:rPr>
              <w:t xml:space="preserve">PANTONE 19-4010 TC </w:t>
            </w:r>
          </w:p>
          <w:p w:rsidR="00FE73E7" w:rsidRDefault="00FE73E7" w:rsidP="008D1A2D">
            <w:pPr>
              <w:spacing w:after="0"/>
              <w:rPr>
                <w:lang w:bidi="cs-CZ"/>
              </w:rPr>
            </w:pPr>
            <w:r w:rsidRPr="00C94E40">
              <w:rPr>
                <w:lang w:bidi="cs-CZ"/>
              </w:rPr>
              <w:t>PANTONE 17-4435 TC</w:t>
            </w:r>
          </w:p>
          <w:p w:rsidR="002C670A" w:rsidRDefault="002C670A" w:rsidP="008D1A2D">
            <w:pPr>
              <w:spacing w:after="0"/>
              <w:rPr>
                <w:lang w:bidi="cs-CZ"/>
              </w:rPr>
            </w:pPr>
          </w:p>
          <w:p w:rsidR="002C670A" w:rsidRDefault="002C670A" w:rsidP="008D1A2D">
            <w:pPr>
              <w:spacing w:after="0"/>
              <w:rPr>
                <w:lang w:bidi="cs-CZ"/>
              </w:rPr>
            </w:pPr>
          </w:p>
          <w:p w:rsidR="002C670A" w:rsidRPr="00C94E40" w:rsidRDefault="002C670A" w:rsidP="008D1A2D">
            <w:pPr>
              <w:spacing w:after="0"/>
              <w:rPr>
                <w:b/>
                <w:lang w:bidi="cs-CZ"/>
              </w:rPr>
            </w:pPr>
          </w:p>
        </w:tc>
        <w:tc>
          <w:tcPr>
            <w:tcW w:w="4115" w:type="dxa"/>
            <w:shd w:val="clear" w:color="auto" w:fill="FFFFFF"/>
            <w:vAlign w:val="center"/>
          </w:tcPr>
          <w:p w:rsidR="002C670A" w:rsidRDefault="002C670A" w:rsidP="008D1A2D">
            <w:pPr>
              <w:spacing w:after="0"/>
              <w:rPr>
                <w:lang w:val="en-US" w:bidi="cs-CZ"/>
              </w:rPr>
            </w:pPr>
          </w:p>
          <w:p w:rsidR="002C670A" w:rsidRDefault="002C670A" w:rsidP="008D1A2D">
            <w:pPr>
              <w:spacing w:after="0"/>
              <w:rPr>
                <w:lang w:val="en-US" w:bidi="cs-CZ"/>
              </w:rPr>
            </w:pPr>
          </w:p>
          <w:p w:rsidR="00FE73E7" w:rsidRPr="00C94E40" w:rsidRDefault="002C670A" w:rsidP="008D1A2D">
            <w:pPr>
              <w:spacing w:after="0"/>
              <w:rPr>
                <w:lang w:val="en-US" w:bidi="cs-CZ"/>
              </w:rPr>
            </w:pPr>
            <w:r>
              <w:rPr>
                <w:noProof/>
                <w:lang w:val="en-US"/>
              </w:rPr>
              <w:drawing>
                <wp:anchor distT="0" distB="0" distL="114300" distR="114300" simplePos="0" relativeHeight="251659264" behindDoc="1" locked="0" layoutInCell="1" allowOverlap="1" wp14:anchorId="3BCE4AC3" wp14:editId="7416EB89">
                  <wp:simplePos x="0" y="0"/>
                  <wp:positionH relativeFrom="column">
                    <wp:posOffset>848995</wp:posOffset>
                  </wp:positionH>
                  <wp:positionV relativeFrom="paragraph">
                    <wp:posOffset>-471170</wp:posOffset>
                  </wp:positionV>
                  <wp:extent cx="1495425" cy="1417320"/>
                  <wp:effectExtent l="0" t="0" r="9525" b="0"/>
                  <wp:wrapTight wrapText="bothSides">
                    <wp:wrapPolygon edited="0">
                      <wp:start x="0" y="0"/>
                      <wp:lineTo x="0" y="21194"/>
                      <wp:lineTo x="21462" y="21194"/>
                      <wp:lineTo x="2146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95425" cy="1417320"/>
                          </a:xfrm>
                          <a:prstGeom prst="rect">
                            <a:avLst/>
                          </a:prstGeom>
                        </pic:spPr>
                      </pic:pic>
                    </a:graphicData>
                  </a:graphic>
                  <wp14:sizeRelH relativeFrom="margin">
                    <wp14:pctWidth>0</wp14:pctWidth>
                  </wp14:sizeRelH>
                  <wp14:sizeRelV relativeFrom="margin">
                    <wp14:pctHeight>0</wp14:pctHeight>
                  </wp14:sizeRelV>
                </wp:anchor>
              </w:drawing>
            </w:r>
            <w:r w:rsidR="00FE73E7" w:rsidRPr="00C94E40">
              <w:rPr>
                <w:lang w:val="en-US" w:bidi="cs-CZ"/>
              </w:rPr>
              <w:t xml:space="preserve">50% </w:t>
            </w:r>
            <w:proofErr w:type="spellStart"/>
            <w:r w:rsidR="00FE73E7" w:rsidRPr="00C94E40">
              <w:rPr>
                <w:lang w:val="en-US" w:bidi="cs-CZ"/>
              </w:rPr>
              <w:t>vlna</w:t>
            </w:r>
            <w:proofErr w:type="spellEnd"/>
          </w:p>
          <w:p w:rsidR="00FE73E7" w:rsidRPr="00C94E40" w:rsidRDefault="00FE73E7" w:rsidP="008D1A2D">
            <w:pPr>
              <w:spacing w:after="0"/>
              <w:rPr>
                <w:lang w:bidi="cs-CZ"/>
              </w:rPr>
            </w:pPr>
            <w:r w:rsidRPr="00C94E40">
              <w:rPr>
                <w:lang w:val="en-US" w:bidi="cs-CZ"/>
              </w:rPr>
              <w:t xml:space="preserve">50% </w:t>
            </w:r>
            <w:proofErr w:type="spellStart"/>
            <w:r w:rsidRPr="00C94E40">
              <w:rPr>
                <w:lang w:val="en-US" w:bidi="cs-CZ"/>
              </w:rPr>
              <w:t>akryl</w:t>
            </w:r>
            <w:proofErr w:type="spellEnd"/>
          </w:p>
        </w:tc>
      </w:tr>
      <w:tr w:rsidR="00FE73E7" w:rsidRPr="00C94E40" w:rsidTr="008D1A2D">
        <w:trPr>
          <w:trHeight w:val="340"/>
          <w:jc w:val="center"/>
        </w:trPr>
        <w:tc>
          <w:tcPr>
            <w:tcW w:w="4820" w:type="dxa"/>
            <w:shd w:val="clear" w:color="auto" w:fill="FFFFFF"/>
            <w:vAlign w:val="center"/>
          </w:tcPr>
          <w:p w:rsidR="00FE73E7" w:rsidRPr="00C94E40" w:rsidRDefault="00FE73E7" w:rsidP="008D1A2D">
            <w:pPr>
              <w:spacing w:after="0"/>
              <w:rPr>
                <w:b/>
                <w:bCs/>
                <w:lang w:bidi="cs-CZ"/>
              </w:rPr>
            </w:pPr>
            <w:r w:rsidRPr="00C94E40">
              <w:rPr>
                <w:b/>
                <w:bCs/>
                <w:lang w:bidi="cs-CZ"/>
              </w:rPr>
              <w:t>Šicí nitě</w:t>
            </w:r>
          </w:p>
        </w:tc>
        <w:tc>
          <w:tcPr>
            <w:tcW w:w="4115" w:type="dxa"/>
            <w:shd w:val="clear" w:color="auto" w:fill="FFFFFF"/>
            <w:vAlign w:val="center"/>
          </w:tcPr>
          <w:p w:rsidR="00FE73E7" w:rsidRPr="00C94E40" w:rsidRDefault="00FE73E7" w:rsidP="008D1A2D">
            <w:pPr>
              <w:spacing w:after="0"/>
              <w:rPr>
                <w:lang w:val="en-US" w:bidi="cs-CZ"/>
              </w:rPr>
            </w:pPr>
            <w:r w:rsidRPr="00C94E40">
              <w:rPr>
                <w:lang w:val="en-US" w:bidi="cs-CZ"/>
              </w:rPr>
              <w:t>100% polyester</w:t>
            </w:r>
          </w:p>
        </w:tc>
      </w:tr>
      <w:tr w:rsidR="00FE73E7" w:rsidRPr="00C94E40" w:rsidTr="008D1A2D">
        <w:trPr>
          <w:trHeight w:val="340"/>
          <w:jc w:val="center"/>
        </w:trPr>
        <w:tc>
          <w:tcPr>
            <w:tcW w:w="4820" w:type="dxa"/>
            <w:shd w:val="clear" w:color="auto" w:fill="FFFFFF"/>
            <w:vAlign w:val="center"/>
          </w:tcPr>
          <w:p w:rsidR="00FE73E7" w:rsidRPr="00C94E40" w:rsidRDefault="00FE73E7" w:rsidP="008D1A2D">
            <w:pPr>
              <w:spacing w:after="0"/>
              <w:rPr>
                <w:b/>
                <w:bCs/>
                <w:lang w:bidi="cs-CZ"/>
              </w:rPr>
            </w:pPr>
            <w:r w:rsidRPr="00C94E40">
              <w:rPr>
                <w:b/>
                <w:bCs/>
                <w:lang w:bidi="cs-CZ"/>
              </w:rPr>
              <w:t>Textilní saténová etiketa bez zátěru</w:t>
            </w:r>
          </w:p>
        </w:tc>
        <w:tc>
          <w:tcPr>
            <w:tcW w:w="4115" w:type="dxa"/>
            <w:shd w:val="clear" w:color="auto" w:fill="FFFFFF"/>
            <w:vAlign w:val="center"/>
          </w:tcPr>
          <w:p w:rsidR="00FE73E7" w:rsidRPr="00C94E40" w:rsidRDefault="00FE73E7" w:rsidP="008D1A2D">
            <w:pPr>
              <w:spacing w:after="0"/>
              <w:rPr>
                <w:lang w:val="en-US" w:bidi="cs-CZ"/>
              </w:rPr>
            </w:pPr>
            <w:r w:rsidRPr="00C94E40">
              <w:rPr>
                <w:lang w:val="en-US" w:bidi="cs-CZ"/>
              </w:rPr>
              <w:t>100% polyester</w:t>
            </w:r>
          </w:p>
        </w:tc>
      </w:tr>
    </w:tbl>
    <w:p w:rsidR="00FE73E7" w:rsidRDefault="00FE73E7" w:rsidP="009217EB">
      <w:pPr>
        <w:spacing w:after="0"/>
        <w:rPr>
          <w:lang w:bidi="cs-CZ"/>
        </w:rPr>
      </w:pPr>
    </w:p>
    <w:p w:rsidR="009217EB" w:rsidRPr="00860CF2" w:rsidRDefault="009217EB" w:rsidP="009217EB">
      <w:pPr>
        <w:numPr>
          <w:ilvl w:val="1"/>
          <w:numId w:val="1"/>
        </w:numPr>
        <w:spacing w:after="0"/>
        <w:rPr>
          <w:lang w:bidi="cs-CZ"/>
        </w:rPr>
      </w:pPr>
      <w:r w:rsidRPr="00860CF2">
        <w:rPr>
          <w:lang w:bidi="cs-CZ"/>
        </w:rPr>
        <w:t xml:space="preserve">Technické parametry použitého </w:t>
      </w:r>
      <w:r w:rsidR="00DB7464">
        <w:rPr>
          <w:lang w:bidi="cs-CZ"/>
        </w:rPr>
        <w:t xml:space="preserve">základního </w:t>
      </w:r>
      <w:r w:rsidRPr="00860CF2">
        <w:rPr>
          <w:lang w:bidi="cs-CZ"/>
        </w:rPr>
        <w:t>materiálu a odpovídající zkušební metody jsou uvedeny v tabulkách.</w:t>
      </w:r>
    </w:p>
    <w:p w:rsidR="009217EB" w:rsidRPr="00860CF2" w:rsidRDefault="009217EB" w:rsidP="009217EB">
      <w:pPr>
        <w:spacing w:after="0"/>
        <w:rPr>
          <w:lang w:bidi="cs-CZ"/>
        </w:rPr>
      </w:pPr>
    </w:p>
    <w:p w:rsidR="009217EB" w:rsidRPr="00860CF2" w:rsidRDefault="00DB7464" w:rsidP="009217EB">
      <w:pPr>
        <w:spacing w:after="0"/>
        <w:rPr>
          <w:b/>
          <w:lang w:bidi="cs-CZ"/>
        </w:rPr>
      </w:pPr>
      <w:r>
        <w:rPr>
          <w:b/>
          <w:lang w:bidi="cs-CZ"/>
        </w:rPr>
        <w:t>Základní</w:t>
      </w:r>
      <w:r w:rsidR="009217EB" w:rsidRPr="00860CF2">
        <w:rPr>
          <w:b/>
          <w:lang w:bidi="cs-CZ"/>
        </w:rPr>
        <w:t xml:space="preserve"> materiál:</w:t>
      </w:r>
    </w:p>
    <w:tbl>
      <w:tblPr>
        <w:tblW w:w="4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2551"/>
        <w:gridCol w:w="2569"/>
      </w:tblGrid>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b/>
                <w:lang w:val="en-US" w:bidi="cs-CZ"/>
              </w:rPr>
            </w:pPr>
            <w:proofErr w:type="spellStart"/>
            <w:r w:rsidRPr="00860CF2">
              <w:rPr>
                <w:b/>
                <w:lang w:val="en-US" w:bidi="cs-CZ"/>
              </w:rPr>
              <w:t>Parametr</w:t>
            </w:r>
            <w:proofErr w:type="spellEnd"/>
          </w:p>
        </w:tc>
        <w:tc>
          <w:tcPr>
            <w:tcW w:w="1426" w:type="pct"/>
            <w:shd w:val="clear" w:color="auto" w:fill="auto"/>
            <w:vAlign w:val="center"/>
          </w:tcPr>
          <w:p w:rsidR="009217EB" w:rsidRPr="00860CF2" w:rsidRDefault="009217EB" w:rsidP="006C1A11">
            <w:pPr>
              <w:spacing w:after="0"/>
              <w:rPr>
                <w:b/>
                <w:lang w:val="en-US" w:bidi="cs-CZ"/>
              </w:rPr>
            </w:pPr>
            <w:proofErr w:type="spellStart"/>
            <w:r w:rsidRPr="00860CF2">
              <w:rPr>
                <w:b/>
                <w:lang w:val="en-US" w:bidi="cs-CZ"/>
              </w:rPr>
              <w:t>Zkušební</w:t>
            </w:r>
            <w:proofErr w:type="spellEnd"/>
            <w:r w:rsidRPr="00860CF2">
              <w:rPr>
                <w:b/>
                <w:lang w:val="en-US" w:bidi="cs-CZ"/>
              </w:rPr>
              <w:t xml:space="preserve"> </w:t>
            </w:r>
            <w:proofErr w:type="spellStart"/>
            <w:r w:rsidRPr="00860CF2">
              <w:rPr>
                <w:b/>
                <w:lang w:val="en-US" w:bidi="cs-CZ"/>
              </w:rPr>
              <w:t>metoda</w:t>
            </w:r>
            <w:proofErr w:type="spellEnd"/>
            <w:r w:rsidRPr="00860CF2">
              <w:rPr>
                <w:b/>
                <w:lang w:val="en-US" w:bidi="cs-CZ"/>
              </w:rPr>
              <w:t xml:space="preserve">, </w:t>
            </w:r>
            <w:proofErr w:type="spellStart"/>
            <w:r w:rsidRPr="00860CF2">
              <w:rPr>
                <w:b/>
                <w:lang w:val="en-US" w:bidi="cs-CZ"/>
              </w:rPr>
              <w:t>norma</w:t>
            </w:r>
            <w:proofErr w:type="spellEnd"/>
          </w:p>
        </w:tc>
        <w:tc>
          <w:tcPr>
            <w:tcW w:w="1436" w:type="pct"/>
            <w:shd w:val="clear" w:color="auto" w:fill="auto"/>
            <w:vAlign w:val="center"/>
          </w:tcPr>
          <w:p w:rsidR="009217EB" w:rsidRPr="00860CF2" w:rsidRDefault="009217EB" w:rsidP="006C1A11">
            <w:pPr>
              <w:spacing w:after="0"/>
              <w:jc w:val="center"/>
              <w:rPr>
                <w:b/>
                <w:lang w:val="en-US" w:bidi="cs-CZ"/>
              </w:rPr>
            </w:pPr>
            <w:proofErr w:type="spellStart"/>
            <w:r w:rsidRPr="00860CF2">
              <w:rPr>
                <w:b/>
                <w:lang w:val="en-US" w:bidi="cs-CZ"/>
              </w:rPr>
              <w:t>Hodnota</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Vazba</w:t>
            </w:r>
            <w:proofErr w:type="spellEnd"/>
            <w:r w:rsidRPr="00860CF2">
              <w:rPr>
                <w:lang w:val="en-US" w:bidi="cs-CZ"/>
              </w:rPr>
              <w:t xml:space="preserve"> </w:t>
            </w:r>
          </w:p>
        </w:tc>
        <w:tc>
          <w:tcPr>
            <w:tcW w:w="1426" w:type="pct"/>
            <w:shd w:val="clear" w:color="auto" w:fill="auto"/>
            <w:vAlign w:val="center"/>
          </w:tcPr>
          <w:p w:rsidR="009217EB" w:rsidRPr="00860CF2" w:rsidRDefault="009217EB" w:rsidP="006C1A11">
            <w:pPr>
              <w:spacing w:after="0"/>
              <w:rPr>
                <w:lang w:val="en-US" w:bidi="cs-CZ"/>
              </w:rPr>
            </w:pPr>
          </w:p>
        </w:tc>
        <w:tc>
          <w:tcPr>
            <w:tcW w:w="1436" w:type="pct"/>
            <w:shd w:val="clear" w:color="auto" w:fill="auto"/>
            <w:vAlign w:val="center"/>
          </w:tcPr>
          <w:p w:rsidR="009217EB" w:rsidRPr="00860CF2" w:rsidRDefault="00FE73E7" w:rsidP="006C1A11">
            <w:pPr>
              <w:spacing w:after="0"/>
              <w:jc w:val="center"/>
              <w:rPr>
                <w:lang w:val="en-US" w:bidi="cs-CZ"/>
              </w:rPr>
            </w:pPr>
            <w:proofErr w:type="spellStart"/>
            <w:r>
              <w:rPr>
                <w:lang w:val="en-US" w:bidi="cs-CZ"/>
              </w:rPr>
              <w:t>žakárová</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Materiálové</w:t>
            </w:r>
            <w:proofErr w:type="spellEnd"/>
            <w:r w:rsidRPr="00860CF2">
              <w:rPr>
                <w:lang w:val="en-US" w:bidi="cs-CZ"/>
              </w:rPr>
              <w:t xml:space="preserve"> </w:t>
            </w:r>
            <w:proofErr w:type="spellStart"/>
            <w:r w:rsidRPr="00860CF2">
              <w:rPr>
                <w:lang w:val="en-US" w:bidi="cs-CZ"/>
              </w:rPr>
              <w:t>složení</w:t>
            </w:r>
            <w:proofErr w:type="spellEnd"/>
          </w:p>
        </w:tc>
        <w:tc>
          <w:tcPr>
            <w:tcW w:w="1426" w:type="pct"/>
            <w:shd w:val="clear" w:color="auto" w:fill="auto"/>
            <w:vAlign w:val="center"/>
          </w:tcPr>
          <w:p w:rsidR="009217EB" w:rsidRPr="00860CF2" w:rsidRDefault="009217EB" w:rsidP="006C1A11">
            <w:pPr>
              <w:spacing w:after="0"/>
              <w:rPr>
                <w:lang w:val="en-US" w:bidi="cs-CZ"/>
              </w:rPr>
            </w:pP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 xml:space="preserve">50% </w:t>
            </w:r>
            <w:proofErr w:type="spellStart"/>
            <w:r w:rsidRPr="00860CF2">
              <w:rPr>
                <w:lang w:val="en-US" w:bidi="cs-CZ"/>
              </w:rPr>
              <w:t>vlna</w:t>
            </w:r>
            <w:proofErr w:type="spellEnd"/>
          </w:p>
          <w:p w:rsidR="009217EB" w:rsidRPr="00860CF2" w:rsidRDefault="009217EB" w:rsidP="006C1A11">
            <w:pPr>
              <w:spacing w:after="0"/>
              <w:jc w:val="center"/>
              <w:rPr>
                <w:lang w:val="en-US" w:bidi="cs-CZ"/>
              </w:rPr>
            </w:pPr>
            <w:r w:rsidRPr="00860CF2">
              <w:rPr>
                <w:lang w:val="en-US" w:bidi="cs-CZ"/>
              </w:rPr>
              <w:t xml:space="preserve">50% </w:t>
            </w:r>
            <w:proofErr w:type="spellStart"/>
            <w:r w:rsidRPr="00860CF2">
              <w:rPr>
                <w:lang w:val="en-US" w:bidi="cs-CZ"/>
              </w:rPr>
              <w:t>akryl</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Barva</w:t>
            </w:r>
            <w:proofErr w:type="spellEnd"/>
          </w:p>
        </w:tc>
        <w:tc>
          <w:tcPr>
            <w:tcW w:w="1426" w:type="pct"/>
            <w:shd w:val="clear" w:color="auto" w:fill="auto"/>
            <w:vAlign w:val="center"/>
          </w:tcPr>
          <w:p w:rsidR="009217EB" w:rsidRPr="00860CF2" w:rsidRDefault="009217EB" w:rsidP="006C1A11">
            <w:pPr>
              <w:spacing w:after="0"/>
              <w:rPr>
                <w:lang w:val="en-US" w:bidi="cs-CZ"/>
              </w:rPr>
            </w:pP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PANTONE 19-4010 TC</w:t>
            </w:r>
          </w:p>
          <w:p w:rsidR="009217EB" w:rsidRPr="00860CF2" w:rsidRDefault="009217EB" w:rsidP="006C1A11">
            <w:pPr>
              <w:spacing w:after="0"/>
              <w:jc w:val="center"/>
              <w:rPr>
                <w:lang w:val="en-US" w:bidi="cs-CZ"/>
              </w:rPr>
            </w:pPr>
            <w:r w:rsidRPr="00860CF2">
              <w:rPr>
                <w:lang w:val="en-US" w:bidi="cs-CZ"/>
              </w:rPr>
              <w:t>PANTONE 17-4435 TC</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Plošná</w:t>
            </w:r>
            <w:proofErr w:type="spellEnd"/>
            <w:r w:rsidRPr="00860CF2">
              <w:rPr>
                <w:lang w:val="en-US" w:bidi="cs-CZ"/>
              </w:rPr>
              <w:t xml:space="preserve"> </w:t>
            </w:r>
            <w:proofErr w:type="spellStart"/>
            <w:r w:rsidRPr="00860CF2">
              <w:rPr>
                <w:lang w:val="en-US" w:bidi="cs-CZ"/>
              </w:rPr>
              <w:t>hmotnost</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12127</w:t>
            </w:r>
          </w:p>
        </w:tc>
        <w:tc>
          <w:tcPr>
            <w:tcW w:w="1436" w:type="pct"/>
            <w:shd w:val="clear" w:color="auto" w:fill="auto"/>
            <w:vAlign w:val="center"/>
          </w:tcPr>
          <w:p w:rsidR="009217EB" w:rsidRPr="00860CF2" w:rsidRDefault="009217EB" w:rsidP="00FE73E7">
            <w:pPr>
              <w:spacing w:after="0"/>
              <w:jc w:val="center"/>
              <w:rPr>
                <w:lang w:val="en-US" w:bidi="cs-CZ"/>
              </w:rPr>
            </w:pPr>
            <w:r w:rsidRPr="00860CF2">
              <w:rPr>
                <w:lang w:val="en-US" w:bidi="cs-CZ"/>
              </w:rPr>
              <w:t>310 g.m</w:t>
            </w:r>
            <w:r w:rsidRPr="00860CF2">
              <w:rPr>
                <w:vertAlign w:val="superscript"/>
                <w:lang w:val="en-US" w:bidi="cs-CZ"/>
              </w:rPr>
              <w:t>2</w:t>
            </w:r>
            <w:r w:rsidRPr="00860CF2">
              <w:rPr>
                <w:lang w:val="en-US" w:bidi="cs-CZ"/>
              </w:rPr>
              <w:t xml:space="preserve"> ± </w:t>
            </w:r>
            <w:r w:rsidR="00FE73E7">
              <w:rPr>
                <w:lang w:val="en-US" w:bidi="cs-CZ"/>
              </w:rPr>
              <w:t>10</w:t>
            </w:r>
            <w:r w:rsidRPr="00860CF2">
              <w:rPr>
                <w:lang w:val="en-US" w:bidi="cs-CZ"/>
              </w:rPr>
              <w:t>%</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rozměrů</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6330</w:t>
            </w:r>
          </w:p>
          <w:p w:rsidR="009217EB" w:rsidRPr="00860CF2" w:rsidRDefault="009217EB" w:rsidP="006C1A11">
            <w:pPr>
              <w:spacing w:after="0"/>
              <w:rPr>
                <w:lang w:val="en-US" w:bidi="cs-CZ"/>
              </w:rPr>
            </w:pPr>
            <w:r w:rsidRPr="00860CF2">
              <w:rPr>
                <w:lang w:val="en-US" w:bidi="cs-CZ"/>
              </w:rPr>
              <w:t>ČSN EN ISO 5077</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max ±5%</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vzhledu</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15487</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Odolnost</w:t>
            </w:r>
            <w:proofErr w:type="spellEnd"/>
            <w:r w:rsidRPr="00860CF2">
              <w:rPr>
                <w:lang w:val="en-US" w:bidi="cs-CZ"/>
              </w:rPr>
              <w:t xml:space="preserve"> v </w:t>
            </w:r>
            <w:proofErr w:type="spellStart"/>
            <w:r w:rsidRPr="00860CF2">
              <w:rPr>
                <w:lang w:val="en-US" w:bidi="cs-CZ"/>
              </w:rPr>
              <w:t>oděru</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ISO 12945-2</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 xml:space="preserve">min. 4 </w:t>
            </w:r>
          </w:p>
          <w:p w:rsidR="009217EB" w:rsidRPr="00860CF2" w:rsidRDefault="009217EB" w:rsidP="006C1A11">
            <w:pPr>
              <w:spacing w:after="0"/>
              <w:jc w:val="center"/>
              <w:rPr>
                <w:lang w:val="en-US" w:bidi="cs-CZ"/>
              </w:rPr>
            </w:pPr>
            <w:r w:rsidRPr="00860CF2">
              <w:rPr>
                <w:lang w:val="en-US" w:bidi="cs-CZ"/>
              </w:rPr>
              <w:t xml:space="preserve">2000 </w:t>
            </w:r>
            <w:proofErr w:type="spellStart"/>
            <w:r w:rsidRPr="00860CF2">
              <w:rPr>
                <w:lang w:val="en-US" w:bidi="cs-CZ"/>
              </w:rPr>
              <w:t>počet</w:t>
            </w:r>
            <w:proofErr w:type="spellEnd"/>
            <w:r w:rsidRPr="00860CF2">
              <w:rPr>
                <w:lang w:val="en-US" w:bidi="cs-CZ"/>
              </w:rPr>
              <w:t xml:space="preserve"> </w:t>
            </w:r>
            <w:proofErr w:type="spellStart"/>
            <w:r w:rsidRPr="00860CF2">
              <w:rPr>
                <w:lang w:val="en-US" w:bidi="cs-CZ"/>
              </w:rPr>
              <w:t>otáček</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na</w:t>
            </w:r>
            <w:proofErr w:type="spellEnd"/>
            <w:r w:rsidRPr="00860CF2">
              <w:rPr>
                <w:lang w:val="en-US" w:bidi="cs-CZ"/>
              </w:rPr>
              <w:t xml:space="preserve"> </w:t>
            </w:r>
            <w:proofErr w:type="spellStart"/>
            <w:r w:rsidRPr="00860CF2">
              <w:rPr>
                <w:lang w:val="en-US" w:bidi="cs-CZ"/>
              </w:rPr>
              <w:t>světle</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105-B02</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w:t>
            </w:r>
          </w:p>
          <w:p w:rsidR="009217EB" w:rsidRPr="00860CF2" w:rsidRDefault="009217EB" w:rsidP="006C1A11">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modré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praní</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105-C06</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4/3-4</w:t>
            </w:r>
          </w:p>
          <w:p w:rsidR="009217EB" w:rsidRPr="00860CF2" w:rsidRDefault="009217EB" w:rsidP="006C1A11">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chemickém</w:t>
            </w:r>
            <w:proofErr w:type="spellEnd"/>
            <w:r w:rsidRPr="00860CF2">
              <w:rPr>
                <w:lang w:val="en-US" w:bidi="cs-CZ"/>
              </w:rPr>
              <w:t xml:space="preserve"> </w:t>
            </w:r>
          </w:p>
          <w:p w:rsidR="009217EB" w:rsidRPr="00860CF2" w:rsidRDefault="009217EB" w:rsidP="006C1A11">
            <w:pPr>
              <w:spacing w:after="0"/>
              <w:rPr>
                <w:lang w:val="en-US" w:bidi="cs-CZ"/>
              </w:rPr>
            </w:pPr>
            <w:proofErr w:type="spellStart"/>
            <w:r w:rsidRPr="00860CF2">
              <w:rPr>
                <w:lang w:val="en-US" w:bidi="cs-CZ"/>
              </w:rPr>
              <w:t>čištění</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105-D01</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4/4</w:t>
            </w:r>
          </w:p>
          <w:p w:rsidR="009217EB" w:rsidRPr="00860CF2" w:rsidRDefault="009217EB" w:rsidP="006C1A11">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suchém</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105-X12</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w:t>
            </w:r>
          </w:p>
          <w:p w:rsidR="009217EB" w:rsidRPr="00860CF2" w:rsidRDefault="009217EB" w:rsidP="006C1A11">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mokrém</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105-X12</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w:t>
            </w:r>
          </w:p>
          <w:p w:rsidR="009217EB" w:rsidRPr="00860CF2" w:rsidRDefault="009217EB" w:rsidP="006C1A11">
            <w:pPr>
              <w:spacing w:after="0"/>
              <w:jc w:val="center"/>
              <w:rPr>
                <w:lang w:val="en-US" w:bidi="cs-CZ"/>
              </w:rPr>
            </w:pPr>
            <w:proofErr w:type="spellStart"/>
            <w:r w:rsidRPr="00860CF2">
              <w:rPr>
                <w:lang w:val="en-US" w:bidi="cs-CZ"/>
              </w:rPr>
              <w:lastRenderedPageBreak/>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lastRenderedPageBreak/>
              <w:t>Stálobarevnost</w:t>
            </w:r>
            <w:proofErr w:type="spellEnd"/>
            <w:r w:rsidRPr="00860CF2">
              <w:rPr>
                <w:lang w:val="en-US" w:bidi="cs-CZ"/>
              </w:rPr>
              <w:t xml:space="preserve"> v </w:t>
            </w:r>
            <w:proofErr w:type="spellStart"/>
            <w:r w:rsidRPr="00860CF2">
              <w:rPr>
                <w:lang w:val="en-US" w:bidi="cs-CZ"/>
              </w:rPr>
              <w:t>potu</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105-E04</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min. 4/4</w:t>
            </w:r>
          </w:p>
          <w:p w:rsidR="009217EB" w:rsidRPr="00860CF2" w:rsidRDefault="009217EB" w:rsidP="006C1A11">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Obsah</w:t>
            </w:r>
            <w:proofErr w:type="spellEnd"/>
            <w:r w:rsidRPr="00860CF2">
              <w:rPr>
                <w:lang w:val="en-US" w:bidi="cs-CZ"/>
              </w:rPr>
              <w:t xml:space="preserve">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formaldehydu</w:t>
            </w:r>
            <w:proofErr w:type="spellEnd"/>
            <w:r w:rsidRPr="00860CF2">
              <w:rPr>
                <w:lang w:val="en-US" w:bidi="cs-CZ"/>
              </w:rPr>
              <w:t xml:space="preserve"> </w:t>
            </w:r>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14184-1</w:t>
            </w:r>
          </w:p>
        </w:tc>
        <w:tc>
          <w:tcPr>
            <w:tcW w:w="1436" w:type="pct"/>
            <w:shd w:val="clear" w:color="auto" w:fill="auto"/>
            <w:vAlign w:val="center"/>
          </w:tcPr>
          <w:p w:rsidR="009217EB" w:rsidRPr="00860CF2" w:rsidRDefault="009217EB" w:rsidP="006C1A11">
            <w:pPr>
              <w:spacing w:after="0"/>
              <w:jc w:val="center"/>
              <w:rPr>
                <w:lang w:val="en-US" w:bidi="cs-CZ"/>
              </w:rPr>
            </w:pPr>
            <w:proofErr w:type="gramStart"/>
            <w:r w:rsidRPr="00860CF2">
              <w:rPr>
                <w:lang w:val="en-US" w:bidi="cs-CZ"/>
              </w:rPr>
              <w:t>max</w:t>
            </w:r>
            <w:proofErr w:type="gramEnd"/>
            <w:r w:rsidRPr="00860CF2">
              <w:rPr>
                <w:lang w:val="en-US" w:bidi="cs-CZ"/>
              </w:rPr>
              <w:t>. 75 mg/kg</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lang w:val="en-US" w:bidi="cs-CZ"/>
              </w:rPr>
            </w:pPr>
            <w:proofErr w:type="spellStart"/>
            <w:r w:rsidRPr="00860CF2">
              <w:rPr>
                <w:lang w:val="en-US" w:bidi="cs-CZ"/>
              </w:rPr>
              <w:t>Hodnota</w:t>
            </w:r>
            <w:proofErr w:type="spellEnd"/>
            <w:r w:rsidRPr="00860CF2">
              <w:rPr>
                <w:lang w:val="en-US" w:bidi="cs-CZ"/>
              </w:rPr>
              <w:t xml:space="preserve"> pH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výluhu</w:t>
            </w:r>
            <w:proofErr w:type="spellEnd"/>
          </w:p>
        </w:tc>
        <w:tc>
          <w:tcPr>
            <w:tcW w:w="1426" w:type="pct"/>
            <w:shd w:val="clear" w:color="auto" w:fill="auto"/>
            <w:vAlign w:val="center"/>
          </w:tcPr>
          <w:p w:rsidR="009217EB" w:rsidRPr="00860CF2" w:rsidRDefault="009217EB" w:rsidP="006C1A11">
            <w:pPr>
              <w:spacing w:after="0"/>
              <w:rPr>
                <w:lang w:val="en-US" w:bidi="cs-CZ"/>
              </w:rPr>
            </w:pPr>
            <w:r w:rsidRPr="00860CF2">
              <w:rPr>
                <w:lang w:val="en-US" w:bidi="cs-CZ"/>
              </w:rPr>
              <w:t>ČSN EN ISO 3071</w:t>
            </w:r>
          </w:p>
        </w:tc>
        <w:tc>
          <w:tcPr>
            <w:tcW w:w="1436" w:type="pct"/>
            <w:shd w:val="clear" w:color="auto" w:fill="auto"/>
            <w:vAlign w:val="center"/>
          </w:tcPr>
          <w:p w:rsidR="009217EB" w:rsidRPr="00860CF2" w:rsidRDefault="009217EB" w:rsidP="006C1A11">
            <w:pPr>
              <w:spacing w:after="0"/>
              <w:jc w:val="center"/>
              <w:rPr>
                <w:lang w:val="en-US" w:bidi="cs-CZ"/>
              </w:rPr>
            </w:pPr>
            <w:r w:rsidRPr="00860CF2">
              <w:rPr>
                <w:lang w:val="en-US" w:bidi="cs-CZ"/>
              </w:rPr>
              <w:t>4,5 - 7,5</w:t>
            </w:r>
          </w:p>
        </w:tc>
      </w:tr>
      <w:tr w:rsidR="009217EB" w:rsidRPr="00860CF2" w:rsidTr="006C1A11">
        <w:trPr>
          <w:trHeight w:val="510"/>
          <w:jc w:val="center"/>
        </w:trPr>
        <w:tc>
          <w:tcPr>
            <w:tcW w:w="2138" w:type="pct"/>
            <w:shd w:val="clear" w:color="auto" w:fill="auto"/>
            <w:vAlign w:val="center"/>
          </w:tcPr>
          <w:p w:rsidR="009217EB" w:rsidRPr="00860CF2" w:rsidRDefault="009217EB" w:rsidP="006C1A11">
            <w:pPr>
              <w:spacing w:after="0"/>
              <w:rPr>
                <w:bCs/>
                <w:lang w:val="cs" w:bidi="cs-CZ"/>
              </w:rPr>
            </w:pPr>
            <w:r w:rsidRPr="00860CF2">
              <w:rPr>
                <w:bCs/>
                <w:lang w:val="cs" w:bidi="cs-CZ"/>
              </w:rPr>
              <w:t>Symboly údržby</w:t>
            </w:r>
          </w:p>
        </w:tc>
        <w:tc>
          <w:tcPr>
            <w:tcW w:w="1426" w:type="pct"/>
            <w:shd w:val="clear" w:color="auto" w:fill="auto"/>
            <w:vAlign w:val="center"/>
          </w:tcPr>
          <w:p w:rsidR="009217EB" w:rsidRPr="00860CF2" w:rsidRDefault="009217EB" w:rsidP="006C1A11">
            <w:pPr>
              <w:spacing w:after="0"/>
              <w:rPr>
                <w:lang w:val="cs" w:bidi="cs-CZ"/>
              </w:rPr>
            </w:pPr>
            <w:r w:rsidRPr="00860CF2">
              <w:rPr>
                <w:lang w:val="cs" w:bidi="cs-CZ"/>
              </w:rPr>
              <w:t>ČSN EN ISO 3758</w:t>
            </w:r>
          </w:p>
        </w:tc>
        <w:tc>
          <w:tcPr>
            <w:tcW w:w="1436" w:type="pct"/>
            <w:shd w:val="clear" w:color="auto" w:fill="auto"/>
            <w:vAlign w:val="center"/>
          </w:tcPr>
          <w:p w:rsidR="009217EB" w:rsidRPr="00860CF2" w:rsidRDefault="009217EB" w:rsidP="006C1A11">
            <w:pPr>
              <w:spacing w:after="0"/>
              <w:rPr>
                <w:lang w:val="en-US" w:bidi="cs-CZ"/>
              </w:rPr>
            </w:pPr>
            <w:r w:rsidRPr="00860CF2">
              <w:object w:dxaOrig="26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7pt" o:ole="">
                  <v:imagedata r:id="rId9" o:title=""/>
                </v:shape>
                <o:OLEObject Type="Embed" ProgID="PBrush" ShapeID="_x0000_i1025" DrawAspect="Content" ObjectID="_1625563652" r:id="rId10"/>
              </w:object>
            </w:r>
          </w:p>
        </w:tc>
      </w:tr>
    </w:tbl>
    <w:p w:rsidR="00FE73E7" w:rsidRDefault="00FE73E7"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t>Poznámka: Pokud jsou v tabulce u jednoho ukazatele uvedeny dvě hodnoty stálobarevnosti oddělené lomítkem, znamená to, že před lomítkem je uvedena hodnota pro změnu odstínu původního materiálu a za lomítkem je uvedena hodnota pro zapouštění na tu z předepsaných doprovodných tkanin, která při zkoušce vykázala horší výsledek.</w:t>
      </w:r>
    </w:p>
    <w:p w:rsidR="009217EB" w:rsidRPr="00860CF2" w:rsidRDefault="009217EB" w:rsidP="009217EB">
      <w:pPr>
        <w:spacing w:after="0" w:line="276" w:lineRule="auto"/>
        <w:jc w:val="both"/>
        <w:rPr>
          <w:lang w:bidi="cs-CZ"/>
        </w:rPr>
      </w:pPr>
    </w:p>
    <w:p w:rsidR="009217EB" w:rsidRPr="00860CF2" w:rsidRDefault="009217EB" w:rsidP="009217EB">
      <w:pPr>
        <w:numPr>
          <w:ilvl w:val="1"/>
          <w:numId w:val="1"/>
        </w:numPr>
        <w:spacing w:after="0" w:line="276" w:lineRule="auto"/>
        <w:jc w:val="both"/>
        <w:rPr>
          <w:lang w:bidi="cs-CZ"/>
        </w:rPr>
      </w:pPr>
      <w:r w:rsidRPr="00860CF2">
        <w:rPr>
          <w:lang w:bidi="cs-CZ"/>
        </w:rPr>
        <w:t>Na parametry uvedené v tabulce dle 4.2 jsou požadovány zkušební protokoly akreditované zkušební laboratoře. Další specifikace použitého materiálu, tj. vazba, materiálové složení, barva, 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9217EB" w:rsidRPr="00860CF2" w:rsidRDefault="009217EB" w:rsidP="009217EB">
      <w:pPr>
        <w:spacing w:after="0" w:line="276" w:lineRule="auto"/>
        <w:jc w:val="both"/>
        <w:rPr>
          <w:lang w:bidi="cs-CZ"/>
        </w:rPr>
      </w:pPr>
    </w:p>
    <w:p w:rsidR="009217EB" w:rsidRPr="00860CF2" w:rsidRDefault="009217EB" w:rsidP="009217EB">
      <w:pPr>
        <w:numPr>
          <w:ilvl w:val="0"/>
          <w:numId w:val="1"/>
        </w:numPr>
        <w:spacing w:after="0" w:line="276" w:lineRule="auto"/>
        <w:jc w:val="both"/>
        <w:rPr>
          <w:b/>
          <w:bCs/>
          <w:lang w:bidi="cs-CZ"/>
        </w:rPr>
      </w:pPr>
      <w:bookmarkStart w:id="5" w:name="bookmark5"/>
      <w:r w:rsidRPr="00860CF2">
        <w:rPr>
          <w:b/>
          <w:bCs/>
          <w:lang w:bidi="cs-CZ"/>
        </w:rPr>
        <w:t>ZNAČENÍ</w:t>
      </w:r>
      <w:bookmarkEnd w:id="5"/>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Pr>
          <w:lang w:bidi="cs-CZ"/>
        </w:rPr>
        <w:t>Svetry</w:t>
      </w:r>
      <w:r w:rsidRPr="00860CF2">
        <w:rPr>
          <w:lang w:bidi="cs-CZ"/>
        </w:rPr>
        <w:t xml:space="preserve"> se značí textilní etiketou v bílé barvě (písmo černé), všitou na střed průkrčníku. Etiketa je stálobarevná v údržbě po dobu životnosti a obsahuje údaje:</w:t>
      </w:r>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t>- název výrobku</w:t>
      </w:r>
    </w:p>
    <w:p w:rsidR="009217EB" w:rsidRPr="00860CF2" w:rsidRDefault="009217EB" w:rsidP="009217EB">
      <w:pPr>
        <w:spacing w:after="0" w:line="276" w:lineRule="auto"/>
        <w:jc w:val="both"/>
        <w:rPr>
          <w:lang w:bidi="cs-CZ"/>
        </w:rPr>
      </w:pPr>
      <w:r w:rsidRPr="00860CF2">
        <w:rPr>
          <w:lang w:bidi="cs-CZ"/>
        </w:rPr>
        <w:t>- výrobce (dodavatel)</w:t>
      </w:r>
    </w:p>
    <w:p w:rsidR="009217EB" w:rsidRPr="00860CF2" w:rsidRDefault="009217EB" w:rsidP="009217EB">
      <w:pPr>
        <w:spacing w:after="0" w:line="276" w:lineRule="auto"/>
        <w:jc w:val="both"/>
        <w:rPr>
          <w:lang w:bidi="cs-CZ"/>
        </w:rPr>
      </w:pPr>
      <w:r w:rsidRPr="00860CF2">
        <w:rPr>
          <w:lang w:bidi="cs-CZ"/>
        </w:rPr>
        <w:t>- velikost</w:t>
      </w:r>
    </w:p>
    <w:p w:rsidR="009217EB" w:rsidRPr="00860CF2" w:rsidRDefault="009217EB" w:rsidP="009217EB">
      <w:pPr>
        <w:spacing w:after="0" w:line="276" w:lineRule="auto"/>
        <w:jc w:val="both"/>
        <w:rPr>
          <w:lang w:bidi="cs-CZ"/>
        </w:rPr>
      </w:pPr>
      <w:r w:rsidRPr="00860CF2">
        <w:rPr>
          <w:lang w:bidi="cs-CZ"/>
        </w:rPr>
        <w:t>- složení materiálu</w:t>
      </w:r>
    </w:p>
    <w:p w:rsidR="009217EB" w:rsidRPr="00860CF2" w:rsidRDefault="009217EB" w:rsidP="009217EB">
      <w:pPr>
        <w:spacing w:after="0" w:line="276" w:lineRule="auto"/>
        <w:jc w:val="both"/>
        <w:rPr>
          <w:lang w:bidi="cs-CZ"/>
        </w:rPr>
      </w:pPr>
      <w:r w:rsidRPr="00860CF2">
        <w:rPr>
          <w:lang w:bidi="cs-CZ"/>
        </w:rPr>
        <w:t>- symboly ošetřování dle ČSN EN ISO 3758</w:t>
      </w:r>
    </w:p>
    <w:p w:rsidR="009217EB" w:rsidRPr="00860CF2" w:rsidRDefault="009217EB" w:rsidP="009217EB">
      <w:pPr>
        <w:spacing w:after="0" w:line="276" w:lineRule="auto"/>
        <w:jc w:val="both"/>
        <w:rPr>
          <w:lang w:bidi="cs-CZ"/>
        </w:rPr>
      </w:pPr>
      <w:r w:rsidRPr="00860CF2">
        <w:rPr>
          <w:lang w:bidi="cs-CZ"/>
        </w:rPr>
        <w:t>- upozornění („POUŽÍVEJTE PRACÍ PROSTŘEDEK NA VLNU“)</w:t>
      </w:r>
    </w:p>
    <w:p w:rsidR="009217EB" w:rsidRPr="00860CF2" w:rsidRDefault="009217EB" w:rsidP="009217EB">
      <w:pPr>
        <w:spacing w:after="0" w:line="276" w:lineRule="auto"/>
        <w:jc w:val="both"/>
        <w:rPr>
          <w:lang w:bidi="cs-CZ"/>
        </w:rPr>
      </w:pPr>
      <w:r w:rsidRPr="00860CF2">
        <w:rPr>
          <w:lang w:bidi="cs-CZ"/>
        </w:rPr>
        <w:t>- datum výroby ve tvaru mm/rrrr (měsíc/rok například 01/2018)</w:t>
      </w:r>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t>Každý výrobek je dále opatřen lepící papírovou visačkou, která je nalepená na PE sáčku a obsahuje:</w:t>
      </w:r>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t>- název výrobku</w:t>
      </w:r>
    </w:p>
    <w:p w:rsidR="009217EB" w:rsidRPr="00860CF2" w:rsidRDefault="009217EB" w:rsidP="009217EB">
      <w:pPr>
        <w:spacing w:after="0" w:line="276" w:lineRule="auto"/>
        <w:jc w:val="both"/>
        <w:rPr>
          <w:lang w:bidi="cs-CZ"/>
        </w:rPr>
      </w:pPr>
      <w:r w:rsidRPr="00860CF2">
        <w:rPr>
          <w:lang w:bidi="cs-CZ"/>
        </w:rPr>
        <w:t>- výrobce (dodavatel)</w:t>
      </w:r>
    </w:p>
    <w:p w:rsidR="009217EB" w:rsidRPr="00860CF2" w:rsidRDefault="009217EB" w:rsidP="009217EB">
      <w:pPr>
        <w:spacing w:after="0" w:line="276" w:lineRule="auto"/>
        <w:jc w:val="both"/>
        <w:rPr>
          <w:lang w:bidi="cs-CZ"/>
        </w:rPr>
      </w:pPr>
      <w:r w:rsidRPr="00860CF2">
        <w:rPr>
          <w:lang w:bidi="cs-CZ"/>
        </w:rPr>
        <w:t>- velikost</w:t>
      </w:r>
    </w:p>
    <w:p w:rsidR="009217EB" w:rsidRPr="00860CF2" w:rsidRDefault="009217EB" w:rsidP="009217EB">
      <w:pPr>
        <w:spacing w:after="0" w:line="276" w:lineRule="auto"/>
        <w:jc w:val="both"/>
        <w:rPr>
          <w:lang w:bidi="cs-CZ"/>
        </w:rPr>
      </w:pPr>
      <w:r w:rsidRPr="00860CF2">
        <w:rPr>
          <w:lang w:bidi="cs-CZ"/>
        </w:rPr>
        <w:t>- čárový kód výrobku</w:t>
      </w:r>
    </w:p>
    <w:p w:rsidR="009217EB" w:rsidRPr="00860CF2" w:rsidRDefault="009217EB" w:rsidP="009217EB">
      <w:pPr>
        <w:spacing w:after="0" w:line="276" w:lineRule="auto"/>
        <w:jc w:val="both"/>
        <w:rPr>
          <w:lang w:bidi="cs-CZ"/>
        </w:rPr>
      </w:pPr>
      <w:r w:rsidRPr="00860CF2">
        <w:rPr>
          <w:lang w:bidi="cs-CZ"/>
        </w:rPr>
        <w:t>- datum výroby ve tvaru mm/rrrr (měsíc/rok například 01/2018)</w:t>
      </w:r>
    </w:p>
    <w:p w:rsidR="009217EB" w:rsidRPr="00860CF2" w:rsidRDefault="009217EB" w:rsidP="009217EB">
      <w:pPr>
        <w:spacing w:after="0" w:line="276" w:lineRule="auto"/>
        <w:jc w:val="both"/>
        <w:rPr>
          <w:lang w:bidi="cs-CZ"/>
        </w:rPr>
      </w:pPr>
    </w:p>
    <w:p w:rsidR="009217EB" w:rsidRPr="00860CF2" w:rsidRDefault="009217EB" w:rsidP="009217EB">
      <w:pPr>
        <w:numPr>
          <w:ilvl w:val="0"/>
          <w:numId w:val="1"/>
        </w:numPr>
        <w:spacing w:after="0" w:line="276" w:lineRule="auto"/>
        <w:jc w:val="both"/>
        <w:rPr>
          <w:b/>
          <w:bCs/>
          <w:lang w:bidi="cs-CZ"/>
        </w:rPr>
      </w:pPr>
      <w:bookmarkStart w:id="6" w:name="bookmark7"/>
      <w:r w:rsidRPr="00860CF2">
        <w:rPr>
          <w:b/>
          <w:bCs/>
          <w:lang w:bidi="cs-CZ"/>
        </w:rPr>
        <w:t>POKYNY PRO SYSTÉM KONTROL, ZKOUŠENÍ A KONEČNOU KONTROLU</w:t>
      </w:r>
      <w:bookmarkEnd w:id="6"/>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lastRenderedPageBreak/>
        <w:t>Hotové výrobky musí odpovídat požadavkům platných technických norem, těmto technickým podmínkám a referenčnímu vzorku. Jakost použitého materiálu se zkouší podle ČSN 80 5004, pevnost švů, počet stehů, rozměry, celkové provedení a vzhled výrobku. Oděv se vyrábí pouze v 1. jakosti. Záruční doba na výrobky je 2 roky od předání konečnému uživateli. V případě zjištění závad a uplatnění reklamace vůči výrobci se bude postupovat v souladu s Obchodním zákoníkem a kupní smlouvou. Místem reklamačních oprav je sídlo zhotovitele zakázky.</w:t>
      </w:r>
    </w:p>
    <w:p w:rsidR="009217EB" w:rsidRPr="00860CF2" w:rsidRDefault="009217EB" w:rsidP="009217EB">
      <w:pPr>
        <w:spacing w:after="0" w:line="276" w:lineRule="auto"/>
        <w:jc w:val="both"/>
        <w:rPr>
          <w:lang w:bidi="cs-CZ"/>
        </w:rPr>
      </w:pPr>
    </w:p>
    <w:p w:rsidR="009217EB" w:rsidRPr="00860CF2" w:rsidRDefault="009217EB" w:rsidP="009217EB">
      <w:pPr>
        <w:numPr>
          <w:ilvl w:val="0"/>
          <w:numId w:val="1"/>
        </w:numPr>
        <w:spacing w:after="0" w:line="276" w:lineRule="auto"/>
        <w:jc w:val="both"/>
        <w:rPr>
          <w:b/>
          <w:bCs/>
          <w:lang w:bidi="cs-CZ"/>
        </w:rPr>
      </w:pPr>
      <w:bookmarkStart w:id="7" w:name="bookmark8"/>
      <w:r w:rsidRPr="00860CF2">
        <w:rPr>
          <w:b/>
          <w:bCs/>
          <w:lang w:bidi="cs-CZ"/>
        </w:rPr>
        <w:t>POKYNY PRO ÚDRŽBU A OPRAVY</w:t>
      </w:r>
      <w:bookmarkEnd w:id="7"/>
    </w:p>
    <w:p w:rsidR="009217EB" w:rsidRPr="00860CF2" w:rsidRDefault="009217EB" w:rsidP="009217EB">
      <w:pPr>
        <w:spacing w:after="0" w:line="276" w:lineRule="auto"/>
        <w:jc w:val="both"/>
        <w:rPr>
          <w:lang w:bidi="cs-CZ"/>
        </w:rPr>
      </w:pPr>
    </w:p>
    <w:p w:rsidR="009217EB" w:rsidRDefault="009217EB" w:rsidP="009217EB">
      <w:pPr>
        <w:spacing w:after="0" w:line="276" w:lineRule="auto"/>
        <w:jc w:val="both"/>
        <w:rPr>
          <w:lang w:bidi="cs-CZ"/>
        </w:rPr>
      </w:pPr>
      <w:r w:rsidRPr="00860CF2">
        <w:rPr>
          <w:lang w:bidi="cs-CZ"/>
        </w:rPr>
        <w:t>Vady zboží, které se projeví během záruční doby, se řeší v souladu s Kupní smlouvou.</w:t>
      </w:r>
    </w:p>
    <w:p w:rsidR="009217EB" w:rsidRPr="00860CF2" w:rsidRDefault="009217EB" w:rsidP="009217EB">
      <w:pPr>
        <w:spacing w:after="0" w:line="276" w:lineRule="auto"/>
        <w:jc w:val="both"/>
        <w:rPr>
          <w:lang w:bidi="cs-CZ"/>
        </w:rPr>
      </w:pPr>
    </w:p>
    <w:p w:rsidR="009217EB" w:rsidRPr="00860CF2" w:rsidRDefault="009217EB" w:rsidP="009217EB">
      <w:pPr>
        <w:numPr>
          <w:ilvl w:val="0"/>
          <w:numId w:val="1"/>
        </w:numPr>
        <w:spacing w:after="0" w:line="276" w:lineRule="auto"/>
        <w:jc w:val="both"/>
        <w:rPr>
          <w:b/>
          <w:bCs/>
          <w:lang w:bidi="cs-CZ"/>
        </w:rPr>
      </w:pPr>
      <w:bookmarkStart w:id="8" w:name="bookmark9"/>
      <w:r w:rsidRPr="00860CF2">
        <w:rPr>
          <w:b/>
          <w:bCs/>
          <w:lang w:bidi="cs-CZ"/>
        </w:rPr>
        <w:t>BALENÍ, SKLADOVÁNÍ, EKOLOGICKÁ LIKVIDACE</w:t>
      </w:r>
      <w:bookmarkEnd w:id="8"/>
    </w:p>
    <w:p w:rsidR="009217EB" w:rsidRPr="00860CF2" w:rsidRDefault="009217EB" w:rsidP="009217EB">
      <w:pPr>
        <w:spacing w:after="0" w:line="276" w:lineRule="auto"/>
        <w:jc w:val="both"/>
        <w:rPr>
          <w:lang w:bidi="cs-CZ"/>
        </w:rPr>
      </w:pPr>
    </w:p>
    <w:p w:rsidR="009217EB" w:rsidRPr="00860CF2" w:rsidRDefault="009217EB" w:rsidP="009217EB">
      <w:pPr>
        <w:spacing w:after="0" w:line="276" w:lineRule="auto"/>
        <w:jc w:val="both"/>
        <w:rPr>
          <w:lang w:bidi="cs-CZ"/>
        </w:rPr>
      </w:pPr>
      <w:r w:rsidRPr="00860CF2">
        <w:rPr>
          <w:lang w:bidi="cs-CZ"/>
        </w:rPr>
        <w:t xml:space="preserve">Výrobky se skládají do PE sáčku a po 30 kusech se balí do krabice z pětivrstvé lepenky. Výrobky v krabici nesmí být namačkané, ani se nesmí volně pohybovat. Krabice s menším počtem kusů musí být řádně označena. V každé krabici musí být výrobky stejné velikosti a artiklu. Každá krabice je označena štítkem s údaji: počet kusů, název výrobku, velikost, hmotnost brutto a netto. Krabice musí být uzavřeny </w:t>
      </w:r>
      <w:r w:rsidR="00DB7464">
        <w:rPr>
          <w:lang w:bidi="cs-CZ"/>
        </w:rPr>
        <w:br/>
      </w:r>
      <w:r w:rsidRPr="00860CF2">
        <w:rPr>
          <w:lang w:bidi="cs-CZ"/>
        </w:rPr>
        <w:t>a přelepeny lepicí páskou.</w:t>
      </w:r>
    </w:p>
    <w:p w:rsidR="009217EB" w:rsidRPr="00860CF2" w:rsidRDefault="009217EB" w:rsidP="009217EB">
      <w:pPr>
        <w:spacing w:after="0" w:line="276" w:lineRule="auto"/>
        <w:jc w:val="both"/>
        <w:rPr>
          <w:lang w:bidi="cs-CZ"/>
        </w:rPr>
      </w:pPr>
    </w:p>
    <w:p w:rsidR="009217EB" w:rsidRDefault="009217EB" w:rsidP="009217EB">
      <w:pPr>
        <w:spacing w:after="0" w:line="276" w:lineRule="auto"/>
        <w:jc w:val="both"/>
        <w:rPr>
          <w:lang w:bidi="cs-CZ"/>
        </w:rPr>
      </w:pPr>
      <w:r w:rsidRPr="00860CF2">
        <w:rPr>
          <w:lang w:bidi="cs-CZ"/>
        </w:rPr>
        <w:t>Oděvy se skladují v suchých, větraných prostorách a nesmějí být vystaveny přímým účinkům slunečního záření a sálavému teplu. Likvidace výrobku se provádí v souladu se zákonem č. 185/2001 Sb., o odpadech a o změně některých dalších zákonů, ve znění pozdějších předpisů a v souladu s příslušnými prováděcími předpisy v platném znění.</w:t>
      </w:r>
    </w:p>
    <w:p w:rsidR="009217EB" w:rsidRDefault="009217EB" w:rsidP="009217EB">
      <w:pPr>
        <w:spacing w:after="0" w:line="276" w:lineRule="auto"/>
        <w:jc w:val="both"/>
        <w:rPr>
          <w:lang w:bidi="cs-CZ"/>
        </w:rPr>
      </w:pPr>
    </w:p>
    <w:p w:rsidR="00245298" w:rsidRPr="00245298" w:rsidRDefault="00245298" w:rsidP="00245298">
      <w:pPr>
        <w:numPr>
          <w:ilvl w:val="0"/>
          <w:numId w:val="1"/>
        </w:numPr>
        <w:rPr>
          <w:b/>
          <w:bCs/>
          <w:lang w:bidi="cs-CZ"/>
        </w:rPr>
      </w:pPr>
      <w:r w:rsidRPr="00245298">
        <w:rPr>
          <w:b/>
          <w:bCs/>
          <w:lang w:bidi="cs-CZ"/>
        </w:rPr>
        <w:t>TECHNICKÝ NÁKRES</w:t>
      </w:r>
      <w:bookmarkEnd w:id="3"/>
    </w:p>
    <w:p w:rsidR="00245298" w:rsidRDefault="00245298" w:rsidP="00245298">
      <w:pPr>
        <w:rPr>
          <w:lang w:bidi="cs-CZ"/>
        </w:rPr>
      </w:pPr>
    </w:p>
    <w:p w:rsidR="009217EB" w:rsidRPr="00245298" w:rsidRDefault="009217EB" w:rsidP="00245298">
      <w:pPr>
        <w:rPr>
          <w:lang w:bidi="cs-CZ"/>
        </w:rPr>
        <w:sectPr w:rsidR="009217EB" w:rsidRPr="00245298" w:rsidSect="00245298">
          <w:headerReference w:type="default" r:id="rId11"/>
          <w:pgSz w:w="11900" w:h="16840"/>
          <w:pgMar w:top="1417" w:right="1417" w:bottom="1417" w:left="1417" w:header="960" w:footer="3" w:gutter="0"/>
          <w:cols w:space="720"/>
          <w:noEndnote/>
          <w:docGrid w:linePitch="360"/>
        </w:sectPr>
      </w:pPr>
    </w:p>
    <w:p w:rsidR="00245298" w:rsidRPr="00245298" w:rsidRDefault="00210B53" w:rsidP="00245298">
      <w:pPr>
        <w:rPr>
          <w:lang w:bidi="cs-CZ"/>
        </w:rPr>
      </w:pPr>
      <w:r>
        <w:rPr>
          <w:noProof/>
          <w:lang w:val="en-US"/>
        </w:rPr>
        <w:drawing>
          <wp:inline distT="0" distB="0" distL="0" distR="0" wp14:anchorId="15F6459E">
            <wp:extent cx="5846445" cy="3194685"/>
            <wp:effectExtent l="0" t="0" r="1905" b="5715"/>
            <wp:docPr id="297" name="Obráze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6445" cy="3194685"/>
                    </a:xfrm>
                    <a:prstGeom prst="rect">
                      <a:avLst/>
                    </a:prstGeom>
                    <a:noFill/>
                  </pic:spPr>
                </pic:pic>
              </a:graphicData>
            </a:graphic>
          </wp:inline>
        </w:drawing>
      </w:r>
    </w:p>
    <w:p w:rsidR="00245298" w:rsidRPr="00245298" w:rsidRDefault="00245298" w:rsidP="00245298">
      <w:pPr>
        <w:rPr>
          <w:lang w:bidi="cs-CZ"/>
        </w:rPr>
        <w:sectPr w:rsidR="00245298" w:rsidRPr="00245298" w:rsidSect="00245298">
          <w:type w:val="continuous"/>
          <w:pgSz w:w="11900" w:h="16840"/>
          <w:pgMar w:top="1417" w:right="1417" w:bottom="1417" w:left="1417" w:header="0" w:footer="3" w:gutter="0"/>
          <w:cols w:space="720"/>
          <w:noEndnote/>
          <w:docGrid w:linePitch="360"/>
        </w:sectPr>
      </w:pPr>
      <w:bookmarkStart w:id="9" w:name="_GoBack"/>
      <w:bookmarkEnd w:id="9"/>
    </w:p>
    <w:p w:rsidR="00245298" w:rsidRPr="00245298" w:rsidRDefault="00245298" w:rsidP="00245298">
      <w:pPr>
        <w:rPr>
          <w:lang w:bidi="cs-CZ"/>
        </w:rPr>
      </w:pPr>
    </w:p>
    <w:p w:rsidR="00245298" w:rsidRPr="00245298" w:rsidRDefault="00245298" w:rsidP="00245298">
      <w:pPr>
        <w:rPr>
          <w:lang w:bidi="cs-CZ"/>
        </w:rPr>
        <w:sectPr w:rsidR="00245298" w:rsidRPr="00245298" w:rsidSect="00245298">
          <w:type w:val="continuous"/>
          <w:pgSz w:w="11900" w:h="16840"/>
          <w:pgMar w:top="1417" w:right="1417" w:bottom="1417" w:left="1417" w:header="935" w:footer="3" w:gutter="0"/>
          <w:cols w:space="720"/>
          <w:noEndnote/>
          <w:docGrid w:linePitch="360"/>
        </w:sectPr>
      </w:pPr>
    </w:p>
    <w:p w:rsidR="00245298" w:rsidRPr="00245298" w:rsidRDefault="00245298" w:rsidP="00245298">
      <w:pPr>
        <w:numPr>
          <w:ilvl w:val="0"/>
          <w:numId w:val="1"/>
        </w:numPr>
        <w:spacing w:after="0"/>
      </w:pPr>
      <w:r w:rsidRPr="00245298">
        <w:rPr>
          <w:b/>
          <w:bCs/>
          <w:lang w:bidi="cs-CZ"/>
        </w:rPr>
        <w:lastRenderedPageBreak/>
        <w:t>TABULKY KONTROLNÍCH MĚR</w:t>
      </w:r>
      <w:r w:rsidRPr="00245298">
        <w:rPr>
          <w:lang w:bidi="cs-CZ"/>
        </w:rPr>
        <w:fldChar w:fldCharType="begin"/>
      </w:r>
      <w:r w:rsidRPr="00245298">
        <w:rPr>
          <w:lang w:bidi="cs-CZ"/>
        </w:rPr>
        <w:instrText xml:space="preserve"> LINK Excel.Sheet.12 "\\\\bphs-dc2.blazek.local\\Blazek_Data\\VYROBA\\PROFESNÍ\\SŽDC\\NOVÝ NÁVRH 2018\\TECHNICKÁ DOKUMENTACE\\DÁMSKÁ\\TKM SŽDC 2018.xlsx" "D Sako 940402!R3C1:R24C18" \a \f 5 \h  \* MERGEFORMAT </w:instrText>
      </w:r>
      <w:r w:rsidRPr="00245298">
        <w:rPr>
          <w:lang w:bidi="cs-CZ"/>
        </w:rPr>
        <w:fldChar w:fldCharType="separate"/>
      </w:r>
    </w:p>
    <w:p w:rsidR="00245298" w:rsidRDefault="00245298" w:rsidP="00245298">
      <w:pPr>
        <w:spacing w:after="0"/>
      </w:pPr>
      <w:r w:rsidRPr="00245298">
        <w:fldChar w:fldCharType="end"/>
      </w:r>
    </w:p>
    <w:p w:rsidR="00607AB9" w:rsidRDefault="00607AB9" w:rsidP="00607AB9">
      <w:pPr>
        <w:spacing w:after="0"/>
        <w:rPr>
          <w:b/>
        </w:rPr>
      </w:pPr>
      <w:r w:rsidRPr="007C3144">
        <w:rPr>
          <w:b/>
        </w:rPr>
        <w:t xml:space="preserve">Kalkulační velikost: </w:t>
      </w:r>
      <w:r w:rsidR="009217EB">
        <w:rPr>
          <w:b/>
        </w:rPr>
        <w:t>52</w:t>
      </w:r>
    </w:p>
    <w:p w:rsidR="009217EB" w:rsidRDefault="009217EB" w:rsidP="00607AB9">
      <w:pPr>
        <w:spacing w:after="0"/>
        <w:rPr>
          <w:b/>
        </w:rPr>
      </w:pPr>
    </w:p>
    <w:tbl>
      <w:tblPr>
        <w:tblStyle w:val="Mkatabulky"/>
        <w:tblW w:w="9360" w:type="dxa"/>
        <w:tblInd w:w="-289" w:type="dxa"/>
        <w:tblLayout w:type="fixed"/>
        <w:tblLook w:val="04A0" w:firstRow="1" w:lastRow="0" w:firstColumn="1" w:lastColumn="0" w:noHBand="0" w:noVBand="1"/>
      </w:tblPr>
      <w:tblGrid>
        <w:gridCol w:w="426"/>
        <w:gridCol w:w="2948"/>
        <w:gridCol w:w="680"/>
        <w:gridCol w:w="680"/>
        <w:gridCol w:w="680"/>
        <w:gridCol w:w="680"/>
        <w:gridCol w:w="680"/>
        <w:gridCol w:w="680"/>
        <w:gridCol w:w="680"/>
        <w:gridCol w:w="680"/>
        <w:gridCol w:w="546"/>
      </w:tblGrid>
      <w:tr w:rsidR="009217EB" w:rsidRPr="00FE73E7" w:rsidTr="00C13B2A">
        <w:trPr>
          <w:trHeight w:val="507"/>
        </w:trPr>
        <w:tc>
          <w:tcPr>
            <w:tcW w:w="3374" w:type="dxa"/>
            <w:gridSpan w:val="2"/>
            <w:vAlign w:val="center"/>
          </w:tcPr>
          <w:p w:rsidR="009217EB" w:rsidRPr="00FE73E7" w:rsidRDefault="009217EB" w:rsidP="009217EB">
            <w:pPr>
              <w:rPr>
                <w:b/>
                <w:bCs/>
                <w:sz w:val="20"/>
                <w:szCs w:val="20"/>
                <w:lang w:val="en-US"/>
              </w:rPr>
            </w:pPr>
            <w:r w:rsidRPr="00FE73E7">
              <w:rPr>
                <w:b/>
                <w:bCs/>
                <w:sz w:val="20"/>
                <w:szCs w:val="20"/>
                <w:lang w:val="en-US"/>
              </w:rPr>
              <w:t>VELIKOST</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48</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50</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52</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54</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56</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58</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60</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62</w:t>
            </w:r>
          </w:p>
        </w:tc>
        <w:tc>
          <w:tcPr>
            <w:tcW w:w="546" w:type="dxa"/>
            <w:vAlign w:val="center"/>
          </w:tcPr>
          <w:p w:rsidR="009217EB" w:rsidRPr="00FE73E7" w:rsidRDefault="009217EB" w:rsidP="009217EB">
            <w:pPr>
              <w:jc w:val="center"/>
              <w:rPr>
                <w:bCs/>
                <w:sz w:val="20"/>
                <w:szCs w:val="20"/>
                <w:lang w:val="en-US"/>
              </w:rPr>
            </w:pPr>
            <w:r w:rsidRPr="00FE73E7">
              <w:rPr>
                <w:bCs/>
                <w:sz w:val="20"/>
                <w:szCs w:val="20"/>
                <w:lang w:val="en-US"/>
              </w:rPr>
              <w:t>Tol.</w:t>
            </w:r>
          </w:p>
          <w:p w:rsidR="009217EB" w:rsidRPr="00FE73E7" w:rsidRDefault="004C3667" w:rsidP="009217EB">
            <w:pPr>
              <w:jc w:val="center"/>
              <w:rPr>
                <w:bCs/>
                <w:sz w:val="20"/>
                <w:szCs w:val="20"/>
                <w:lang w:val="en-US"/>
              </w:rPr>
            </w:pPr>
            <w:r w:rsidRPr="00FE73E7">
              <w:rPr>
                <w:bCs/>
                <w:sz w:val="20"/>
                <w:szCs w:val="20"/>
                <w:lang w:val="en-US"/>
              </w:rPr>
              <w:t>±</w:t>
            </w:r>
          </w:p>
        </w:tc>
      </w:tr>
      <w:tr w:rsidR="009217EB" w:rsidRPr="00FE73E7" w:rsidTr="00C13B2A">
        <w:trPr>
          <w:trHeight w:val="340"/>
        </w:trPr>
        <w:tc>
          <w:tcPr>
            <w:tcW w:w="3374" w:type="dxa"/>
            <w:gridSpan w:val="2"/>
            <w:vAlign w:val="center"/>
          </w:tcPr>
          <w:p w:rsidR="009217EB" w:rsidRPr="00FE73E7" w:rsidRDefault="009217EB" w:rsidP="009217EB">
            <w:pPr>
              <w:rPr>
                <w:bCs/>
                <w:sz w:val="20"/>
                <w:szCs w:val="20"/>
                <w:lang w:val="en-US"/>
              </w:rPr>
            </w:pPr>
            <w:r w:rsidRPr="00FE73E7">
              <w:rPr>
                <w:bCs/>
                <w:sz w:val="20"/>
                <w:szCs w:val="20"/>
                <w:lang w:val="en-US"/>
              </w:rPr>
              <w:t>Obvod hrudi/</w:t>
            </w:r>
            <w:r w:rsidRPr="00FE73E7">
              <w:rPr>
                <w:bCs/>
                <w:sz w:val="20"/>
                <w:szCs w:val="20"/>
                <w:vertAlign w:val="superscript"/>
                <w:lang w:val="en-US"/>
              </w:rPr>
              <w:t>1</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96</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100</w:t>
            </w:r>
          </w:p>
        </w:tc>
        <w:tc>
          <w:tcPr>
            <w:tcW w:w="680" w:type="dxa"/>
            <w:noWrap/>
            <w:vAlign w:val="center"/>
            <w:hideMark/>
          </w:tcPr>
          <w:p w:rsidR="009217EB" w:rsidRPr="00FE73E7" w:rsidRDefault="009217EB" w:rsidP="009217EB">
            <w:pPr>
              <w:jc w:val="center"/>
              <w:rPr>
                <w:b/>
                <w:bCs/>
                <w:sz w:val="20"/>
                <w:szCs w:val="20"/>
                <w:lang w:val="en-US"/>
              </w:rPr>
            </w:pPr>
            <w:r w:rsidRPr="00FE73E7">
              <w:rPr>
                <w:b/>
                <w:bCs/>
                <w:sz w:val="20"/>
                <w:szCs w:val="20"/>
                <w:lang w:val="en-US"/>
              </w:rPr>
              <w:t>104</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108</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112</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116</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120</w:t>
            </w:r>
          </w:p>
        </w:tc>
        <w:tc>
          <w:tcPr>
            <w:tcW w:w="680" w:type="dxa"/>
            <w:noWrap/>
            <w:vAlign w:val="center"/>
            <w:hideMark/>
          </w:tcPr>
          <w:p w:rsidR="009217EB" w:rsidRPr="00FE73E7" w:rsidRDefault="009217EB" w:rsidP="009217EB">
            <w:pPr>
              <w:jc w:val="center"/>
              <w:rPr>
                <w:bCs/>
                <w:sz w:val="20"/>
                <w:szCs w:val="20"/>
                <w:lang w:val="en-US"/>
              </w:rPr>
            </w:pPr>
            <w:r w:rsidRPr="00FE73E7">
              <w:rPr>
                <w:bCs/>
                <w:sz w:val="20"/>
                <w:szCs w:val="20"/>
                <w:lang w:val="en-US"/>
              </w:rPr>
              <w:t>124</w:t>
            </w:r>
          </w:p>
        </w:tc>
        <w:tc>
          <w:tcPr>
            <w:tcW w:w="546" w:type="dxa"/>
            <w:vAlign w:val="center"/>
          </w:tcPr>
          <w:p w:rsidR="009217EB" w:rsidRPr="00FE73E7" w:rsidRDefault="009217EB" w:rsidP="009217EB">
            <w:pPr>
              <w:jc w:val="center"/>
              <w:rPr>
                <w:bCs/>
                <w:sz w:val="20"/>
                <w:szCs w:val="20"/>
                <w:lang w:val="en-US"/>
              </w:rPr>
            </w:pPr>
            <w:r w:rsidRPr="00FE73E7">
              <w:rPr>
                <w:bCs/>
                <w:sz w:val="20"/>
                <w:szCs w:val="20"/>
                <w:lang w:val="en-US"/>
              </w:rPr>
              <w:t>-</w:t>
            </w:r>
          </w:p>
        </w:tc>
      </w:tr>
      <w:tr w:rsidR="009217EB" w:rsidRPr="00FE73E7" w:rsidTr="00C13B2A">
        <w:trPr>
          <w:trHeight w:val="340"/>
        </w:trPr>
        <w:tc>
          <w:tcPr>
            <w:tcW w:w="426" w:type="dxa"/>
            <w:vAlign w:val="center"/>
          </w:tcPr>
          <w:p w:rsidR="009217EB" w:rsidRPr="00FE73E7" w:rsidRDefault="009217EB" w:rsidP="009217EB">
            <w:pPr>
              <w:rPr>
                <w:bCs/>
                <w:sz w:val="20"/>
                <w:szCs w:val="20"/>
                <w:lang w:val="en-US"/>
              </w:rPr>
            </w:pPr>
            <w:r w:rsidRPr="00FE73E7">
              <w:rPr>
                <w:bCs/>
                <w:sz w:val="20"/>
                <w:szCs w:val="20"/>
                <w:lang w:val="en-US"/>
              </w:rPr>
              <w:t>A</w:t>
            </w:r>
          </w:p>
        </w:tc>
        <w:tc>
          <w:tcPr>
            <w:tcW w:w="2948" w:type="dxa"/>
            <w:noWrap/>
            <w:vAlign w:val="center"/>
            <w:hideMark/>
          </w:tcPr>
          <w:p w:rsidR="009217EB" w:rsidRPr="00FE73E7" w:rsidRDefault="00C13B2A" w:rsidP="009217EB">
            <w:pPr>
              <w:rPr>
                <w:bCs/>
                <w:sz w:val="20"/>
                <w:szCs w:val="20"/>
                <w:lang w:val="en-US"/>
              </w:rPr>
            </w:pPr>
            <w:r w:rsidRPr="00FE73E7">
              <w:rPr>
                <w:sz w:val="20"/>
                <w:szCs w:val="20"/>
                <w:lang w:val="en-US"/>
              </w:rPr>
              <w:t>Prsní šířka</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48</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50</w:t>
            </w:r>
          </w:p>
        </w:tc>
        <w:tc>
          <w:tcPr>
            <w:tcW w:w="680" w:type="dxa"/>
            <w:noWrap/>
            <w:vAlign w:val="center"/>
            <w:hideMark/>
          </w:tcPr>
          <w:p w:rsidR="009217EB" w:rsidRPr="00FE73E7" w:rsidRDefault="009217EB" w:rsidP="009217EB">
            <w:pPr>
              <w:jc w:val="center"/>
              <w:rPr>
                <w:b/>
                <w:sz w:val="20"/>
                <w:szCs w:val="20"/>
                <w:lang w:val="en-US"/>
              </w:rPr>
            </w:pPr>
            <w:r w:rsidRPr="00FE73E7">
              <w:rPr>
                <w:b/>
                <w:sz w:val="20"/>
                <w:szCs w:val="20"/>
                <w:lang w:val="en-US"/>
              </w:rPr>
              <w:t>52</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54</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56</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58</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60</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62</w:t>
            </w:r>
          </w:p>
        </w:tc>
        <w:tc>
          <w:tcPr>
            <w:tcW w:w="546" w:type="dxa"/>
            <w:vAlign w:val="center"/>
          </w:tcPr>
          <w:p w:rsidR="009217EB" w:rsidRPr="00FE73E7" w:rsidRDefault="009217EB" w:rsidP="009217EB">
            <w:pPr>
              <w:jc w:val="center"/>
              <w:rPr>
                <w:sz w:val="20"/>
                <w:szCs w:val="20"/>
                <w:lang w:val="en-US"/>
              </w:rPr>
            </w:pPr>
            <w:r w:rsidRPr="00FE73E7">
              <w:rPr>
                <w:sz w:val="20"/>
                <w:szCs w:val="20"/>
                <w:lang w:val="en-US"/>
              </w:rPr>
              <w:t>1</w:t>
            </w:r>
            <w:r w:rsidR="00C13B2A" w:rsidRPr="00FE73E7">
              <w:rPr>
                <w:sz w:val="20"/>
                <w:szCs w:val="20"/>
                <w:lang w:val="en-US"/>
              </w:rPr>
              <w:t>,5</w:t>
            </w:r>
          </w:p>
        </w:tc>
      </w:tr>
      <w:tr w:rsidR="009217EB" w:rsidRPr="00FE73E7" w:rsidTr="00C13B2A">
        <w:trPr>
          <w:trHeight w:val="340"/>
        </w:trPr>
        <w:tc>
          <w:tcPr>
            <w:tcW w:w="426" w:type="dxa"/>
            <w:vAlign w:val="center"/>
          </w:tcPr>
          <w:p w:rsidR="009217EB" w:rsidRPr="00FE73E7" w:rsidRDefault="009217EB" w:rsidP="009217EB">
            <w:pPr>
              <w:rPr>
                <w:bCs/>
                <w:sz w:val="20"/>
                <w:szCs w:val="20"/>
                <w:lang w:val="en-US"/>
              </w:rPr>
            </w:pPr>
            <w:r w:rsidRPr="00FE73E7">
              <w:rPr>
                <w:bCs/>
                <w:sz w:val="20"/>
                <w:szCs w:val="20"/>
                <w:lang w:val="en-US"/>
              </w:rPr>
              <w:t>B</w:t>
            </w:r>
          </w:p>
        </w:tc>
        <w:tc>
          <w:tcPr>
            <w:tcW w:w="2948" w:type="dxa"/>
            <w:noWrap/>
            <w:vAlign w:val="center"/>
            <w:hideMark/>
          </w:tcPr>
          <w:p w:rsidR="009217EB" w:rsidRPr="00FE73E7" w:rsidRDefault="00C13B2A" w:rsidP="009217EB">
            <w:pPr>
              <w:rPr>
                <w:bCs/>
                <w:sz w:val="20"/>
                <w:szCs w:val="20"/>
                <w:lang w:val="en-US"/>
              </w:rPr>
            </w:pPr>
            <w:r w:rsidRPr="00FE73E7">
              <w:rPr>
                <w:sz w:val="20"/>
                <w:szCs w:val="20"/>
                <w:lang w:val="en-US"/>
              </w:rPr>
              <w:t>Dolní šířka</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38</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40</w:t>
            </w:r>
          </w:p>
        </w:tc>
        <w:tc>
          <w:tcPr>
            <w:tcW w:w="680" w:type="dxa"/>
            <w:noWrap/>
            <w:vAlign w:val="center"/>
            <w:hideMark/>
          </w:tcPr>
          <w:p w:rsidR="009217EB" w:rsidRPr="00FE73E7" w:rsidRDefault="009217EB" w:rsidP="009217EB">
            <w:pPr>
              <w:jc w:val="center"/>
              <w:rPr>
                <w:b/>
                <w:sz w:val="20"/>
                <w:szCs w:val="20"/>
                <w:lang w:val="en-US"/>
              </w:rPr>
            </w:pPr>
            <w:r w:rsidRPr="00FE73E7">
              <w:rPr>
                <w:b/>
                <w:sz w:val="20"/>
                <w:szCs w:val="20"/>
                <w:lang w:val="en-US"/>
              </w:rPr>
              <w:t>42</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44</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46</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48</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50</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52</w:t>
            </w:r>
          </w:p>
        </w:tc>
        <w:tc>
          <w:tcPr>
            <w:tcW w:w="546" w:type="dxa"/>
            <w:vAlign w:val="center"/>
          </w:tcPr>
          <w:p w:rsidR="009217EB" w:rsidRPr="00FE73E7" w:rsidRDefault="009217EB" w:rsidP="009217EB">
            <w:pPr>
              <w:jc w:val="center"/>
              <w:rPr>
                <w:sz w:val="20"/>
                <w:szCs w:val="20"/>
                <w:lang w:val="en-US"/>
              </w:rPr>
            </w:pPr>
            <w:r w:rsidRPr="00FE73E7">
              <w:rPr>
                <w:sz w:val="20"/>
                <w:szCs w:val="20"/>
                <w:lang w:val="en-US"/>
              </w:rPr>
              <w:t>1</w:t>
            </w:r>
            <w:r w:rsidR="00C13B2A" w:rsidRPr="00FE73E7">
              <w:rPr>
                <w:sz w:val="20"/>
                <w:szCs w:val="20"/>
                <w:lang w:val="en-US"/>
              </w:rPr>
              <w:t>,5</w:t>
            </w:r>
          </w:p>
        </w:tc>
      </w:tr>
      <w:tr w:rsidR="009217EB" w:rsidRPr="00FE73E7" w:rsidTr="00C13B2A">
        <w:trPr>
          <w:trHeight w:val="340"/>
        </w:trPr>
        <w:tc>
          <w:tcPr>
            <w:tcW w:w="426" w:type="dxa"/>
            <w:vAlign w:val="center"/>
          </w:tcPr>
          <w:p w:rsidR="009217EB" w:rsidRPr="00FE73E7" w:rsidRDefault="009217EB" w:rsidP="009217EB">
            <w:pPr>
              <w:rPr>
                <w:sz w:val="20"/>
                <w:szCs w:val="20"/>
                <w:lang w:val="en-US"/>
              </w:rPr>
            </w:pPr>
            <w:r w:rsidRPr="00FE73E7">
              <w:rPr>
                <w:sz w:val="20"/>
                <w:szCs w:val="20"/>
                <w:lang w:val="en-US"/>
              </w:rPr>
              <w:t>C</w:t>
            </w:r>
          </w:p>
        </w:tc>
        <w:tc>
          <w:tcPr>
            <w:tcW w:w="2948" w:type="dxa"/>
            <w:noWrap/>
            <w:vAlign w:val="center"/>
            <w:hideMark/>
          </w:tcPr>
          <w:p w:rsidR="009217EB" w:rsidRPr="00FE73E7" w:rsidRDefault="00C13B2A" w:rsidP="009217EB">
            <w:pPr>
              <w:rPr>
                <w:sz w:val="20"/>
                <w:szCs w:val="20"/>
                <w:lang w:val="en-US"/>
              </w:rPr>
            </w:pPr>
            <w:r w:rsidRPr="00FE73E7">
              <w:rPr>
                <w:sz w:val="20"/>
                <w:szCs w:val="20"/>
                <w:lang w:val="en-US"/>
              </w:rPr>
              <w:t>Šířka zad</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43</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44</w:t>
            </w:r>
          </w:p>
        </w:tc>
        <w:tc>
          <w:tcPr>
            <w:tcW w:w="680" w:type="dxa"/>
            <w:noWrap/>
            <w:vAlign w:val="center"/>
            <w:hideMark/>
          </w:tcPr>
          <w:p w:rsidR="009217EB" w:rsidRPr="00FE73E7" w:rsidRDefault="009217EB" w:rsidP="009217EB">
            <w:pPr>
              <w:jc w:val="center"/>
              <w:rPr>
                <w:b/>
                <w:sz w:val="20"/>
                <w:szCs w:val="20"/>
                <w:lang w:val="en-US"/>
              </w:rPr>
            </w:pPr>
            <w:r w:rsidRPr="00FE73E7">
              <w:rPr>
                <w:b/>
                <w:sz w:val="20"/>
                <w:szCs w:val="20"/>
                <w:lang w:val="en-US"/>
              </w:rPr>
              <w:t>46</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47</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49</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50</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52</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53</w:t>
            </w:r>
          </w:p>
        </w:tc>
        <w:tc>
          <w:tcPr>
            <w:tcW w:w="546" w:type="dxa"/>
            <w:vAlign w:val="center"/>
          </w:tcPr>
          <w:p w:rsidR="009217EB" w:rsidRPr="00FE73E7" w:rsidRDefault="009217EB" w:rsidP="009217EB">
            <w:pPr>
              <w:jc w:val="center"/>
              <w:rPr>
                <w:sz w:val="20"/>
                <w:szCs w:val="20"/>
                <w:lang w:val="en-US"/>
              </w:rPr>
            </w:pPr>
            <w:r w:rsidRPr="00FE73E7">
              <w:rPr>
                <w:sz w:val="20"/>
                <w:szCs w:val="20"/>
                <w:lang w:val="en-US"/>
              </w:rPr>
              <w:t>1</w:t>
            </w:r>
            <w:r w:rsidR="00C13B2A" w:rsidRPr="00FE73E7">
              <w:rPr>
                <w:sz w:val="20"/>
                <w:szCs w:val="20"/>
                <w:lang w:val="en-US"/>
              </w:rPr>
              <w:t>,5</w:t>
            </w:r>
          </w:p>
        </w:tc>
      </w:tr>
      <w:tr w:rsidR="009217EB" w:rsidRPr="00FE73E7" w:rsidTr="00C13B2A">
        <w:trPr>
          <w:trHeight w:val="340"/>
        </w:trPr>
        <w:tc>
          <w:tcPr>
            <w:tcW w:w="426" w:type="dxa"/>
            <w:vAlign w:val="center"/>
          </w:tcPr>
          <w:p w:rsidR="009217EB" w:rsidRPr="00FE73E7" w:rsidRDefault="009217EB" w:rsidP="009217EB">
            <w:pPr>
              <w:rPr>
                <w:bCs/>
                <w:sz w:val="20"/>
                <w:szCs w:val="20"/>
                <w:lang w:val="en-US"/>
              </w:rPr>
            </w:pPr>
            <w:r w:rsidRPr="00FE73E7">
              <w:rPr>
                <w:bCs/>
                <w:sz w:val="20"/>
                <w:szCs w:val="20"/>
                <w:lang w:val="en-US"/>
              </w:rPr>
              <w:t>D</w:t>
            </w:r>
          </w:p>
        </w:tc>
        <w:tc>
          <w:tcPr>
            <w:tcW w:w="2948" w:type="dxa"/>
            <w:noWrap/>
            <w:vAlign w:val="center"/>
            <w:hideMark/>
          </w:tcPr>
          <w:p w:rsidR="009217EB" w:rsidRPr="00FE73E7" w:rsidRDefault="00C13B2A" w:rsidP="009217EB">
            <w:pPr>
              <w:rPr>
                <w:bCs/>
                <w:sz w:val="20"/>
                <w:szCs w:val="20"/>
                <w:lang w:val="en-US"/>
              </w:rPr>
            </w:pPr>
            <w:r w:rsidRPr="00FE73E7">
              <w:rPr>
                <w:sz w:val="20"/>
                <w:szCs w:val="20"/>
                <w:lang w:val="en-US"/>
              </w:rPr>
              <w:t>Délka rukávu</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61,5</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63</w:t>
            </w:r>
          </w:p>
        </w:tc>
        <w:tc>
          <w:tcPr>
            <w:tcW w:w="680" w:type="dxa"/>
            <w:noWrap/>
            <w:vAlign w:val="center"/>
            <w:hideMark/>
          </w:tcPr>
          <w:p w:rsidR="009217EB" w:rsidRPr="00FE73E7" w:rsidRDefault="009217EB" w:rsidP="009217EB">
            <w:pPr>
              <w:jc w:val="center"/>
              <w:rPr>
                <w:b/>
                <w:sz w:val="20"/>
                <w:szCs w:val="20"/>
                <w:lang w:val="en-US"/>
              </w:rPr>
            </w:pPr>
            <w:r w:rsidRPr="00FE73E7">
              <w:rPr>
                <w:b/>
                <w:sz w:val="20"/>
                <w:szCs w:val="20"/>
                <w:lang w:val="en-US"/>
              </w:rPr>
              <w:t>64,5</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66</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67,5</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69</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70</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70,5</w:t>
            </w:r>
          </w:p>
        </w:tc>
        <w:tc>
          <w:tcPr>
            <w:tcW w:w="546" w:type="dxa"/>
            <w:vAlign w:val="center"/>
          </w:tcPr>
          <w:p w:rsidR="009217EB" w:rsidRPr="00FE73E7" w:rsidRDefault="00C13B2A" w:rsidP="009217EB">
            <w:pPr>
              <w:jc w:val="center"/>
              <w:rPr>
                <w:sz w:val="20"/>
                <w:szCs w:val="20"/>
                <w:lang w:val="en-US"/>
              </w:rPr>
            </w:pPr>
            <w:r w:rsidRPr="00FE73E7">
              <w:rPr>
                <w:sz w:val="20"/>
                <w:szCs w:val="20"/>
                <w:lang w:val="en-US"/>
              </w:rPr>
              <w:t>2</w:t>
            </w:r>
          </w:p>
        </w:tc>
      </w:tr>
      <w:tr w:rsidR="009217EB" w:rsidRPr="00FE73E7" w:rsidTr="00C13B2A">
        <w:trPr>
          <w:trHeight w:val="340"/>
        </w:trPr>
        <w:tc>
          <w:tcPr>
            <w:tcW w:w="426" w:type="dxa"/>
            <w:vAlign w:val="center"/>
          </w:tcPr>
          <w:p w:rsidR="009217EB" w:rsidRPr="00FE73E7" w:rsidRDefault="009217EB" w:rsidP="009217EB">
            <w:pPr>
              <w:rPr>
                <w:sz w:val="20"/>
                <w:szCs w:val="20"/>
                <w:lang w:val="en-US"/>
              </w:rPr>
            </w:pPr>
            <w:r w:rsidRPr="00FE73E7">
              <w:rPr>
                <w:sz w:val="20"/>
                <w:szCs w:val="20"/>
                <w:lang w:val="en-US"/>
              </w:rPr>
              <w:t>E</w:t>
            </w:r>
          </w:p>
        </w:tc>
        <w:tc>
          <w:tcPr>
            <w:tcW w:w="2948" w:type="dxa"/>
            <w:noWrap/>
            <w:vAlign w:val="center"/>
            <w:hideMark/>
          </w:tcPr>
          <w:p w:rsidR="009217EB" w:rsidRPr="00FE73E7" w:rsidRDefault="00C13B2A" w:rsidP="009217EB">
            <w:pPr>
              <w:rPr>
                <w:sz w:val="20"/>
                <w:szCs w:val="20"/>
                <w:lang w:val="en-US"/>
              </w:rPr>
            </w:pPr>
            <w:r w:rsidRPr="00FE73E7">
              <w:rPr>
                <w:sz w:val="20"/>
                <w:szCs w:val="20"/>
                <w:lang w:val="en-US"/>
              </w:rPr>
              <w:t>Přední délka</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69</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71</w:t>
            </w:r>
          </w:p>
        </w:tc>
        <w:tc>
          <w:tcPr>
            <w:tcW w:w="680" w:type="dxa"/>
            <w:noWrap/>
            <w:vAlign w:val="center"/>
            <w:hideMark/>
          </w:tcPr>
          <w:p w:rsidR="009217EB" w:rsidRPr="00FE73E7" w:rsidRDefault="009217EB" w:rsidP="009217EB">
            <w:pPr>
              <w:jc w:val="center"/>
              <w:rPr>
                <w:b/>
                <w:sz w:val="20"/>
                <w:szCs w:val="20"/>
                <w:lang w:val="en-US"/>
              </w:rPr>
            </w:pPr>
            <w:r w:rsidRPr="00FE73E7">
              <w:rPr>
                <w:b/>
                <w:sz w:val="20"/>
                <w:szCs w:val="20"/>
                <w:lang w:val="en-US"/>
              </w:rPr>
              <w:t>73</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75</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77</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77</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79</w:t>
            </w:r>
          </w:p>
        </w:tc>
        <w:tc>
          <w:tcPr>
            <w:tcW w:w="680" w:type="dxa"/>
            <w:noWrap/>
            <w:vAlign w:val="center"/>
            <w:hideMark/>
          </w:tcPr>
          <w:p w:rsidR="009217EB" w:rsidRPr="00FE73E7" w:rsidRDefault="009217EB" w:rsidP="009217EB">
            <w:pPr>
              <w:jc w:val="center"/>
              <w:rPr>
                <w:sz w:val="20"/>
                <w:szCs w:val="20"/>
                <w:lang w:val="en-US"/>
              </w:rPr>
            </w:pPr>
            <w:r w:rsidRPr="00FE73E7">
              <w:rPr>
                <w:sz w:val="20"/>
                <w:szCs w:val="20"/>
                <w:lang w:val="en-US"/>
              </w:rPr>
              <w:t>79</w:t>
            </w:r>
          </w:p>
        </w:tc>
        <w:tc>
          <w:tcPr>
            <w:tcW w:w="546" w:type="dxa"/>
            <w:vAlign w:val="center"/>
          </w:tcPr>
          <w:p w:rsidR="009217EB" w:rsidRPr="00FE73E7" w:rsidRDefault="00C13B2A" w:rsidP="009217EB">
            <w:pPr>
              <w:jc w:val="center"/>
              <w:rPr>
                <w:sz w:val="20"/>
                <w:szCs w:val="20"/>
                <w:lang w:val="en-US"/>
              </w:rPr>
            </w:pPr>
            <w:r w:rsidRPr="00FE73E7">
              <w:rPr>
                <w:sz w:val="20"/>
                <w:szCs w:val="20"/>
                <w:lang w:val="en-US"/>
              </w:rPr>
              <w:t>2</w:t>
            </w:r>
          </w:p>
        </w:tc>
      </w:tr>
      <w:tr w:rsidR="00210B53" w:rsidRPr="00FE73E7" w:rsidTr="00C13B2A">
        <w:trPr>
          <w:trHeight w:val="340"/>
        </w:trPr>
        <w:tc>
          <w:tcPr>
            <w:tcW w:w="426" w:type="dxa"/>
            <w:vAlign w:val="center"/>
          </w:tcPr>
          <w:p w:rsidR="00210B53" w:rsidRPr="00FE73E7" w:rsidRDefault="00210B53" w:rsidP="009217EB">
            <w:pPr>
              <w:rPr>
                <w:sz w:val="20"/>
                <w:szCs w:val="20"/>
                <w:lang w:val="en-US"/>
              </w:rPr>
            </w:pPr>
            <w:r w:rsidRPr="00FE73E7">
              <w:rPr>
                <w:sz w:val="20"/>
                <w:szCs w:val="20"/>
                <w:lang w:val="en-US"/>
              </w:rPr>
              <w:t>F</w:t>
            </w:r>
          </w:p>
        </w:tc>
        <w:tc>
          <w:tcPr>
            <w:tcW w:w="2948" w:type="dxa"/>
            <w:noWrap/>
            <w:vAlign w:val="center"/>
          </w:tcPr>
          <w:p w:rsidR="00210B53" w:rsidRPr="00FE73E7" w:rsidRDefault="00210B53" w:rsidP="00210B53">
            <w:pPr>
              <w:rPr>
                <w:sz w:val="20"/>
                <w:szCs w:val="20"/>
                <w:lang w:val="en-US"/>
              </w:rPr>
            </w:pPr>
            <w:r w:rsidRPr="00FE73E7">
              <w:rPr>
                <w:sz w:val="20"/>
                <w:szCs w:val="20"/>
                <w:lang w:val="en-US"/>
              </w:rPr>
              <w:t xml:space="preserve">Hloubka </w:t>
            </w:r>
            <w:r w:rsidR="00C13B2A" w:rsidRPr="00FE73E7">
              <w:rPr>
                <w:sz w:val="20"/>
                <w:szCs w:val="20"/>
                <w:lang w:val="en-US"/>
              </w:rPr>
              <w:t xml:space="preserve">předního </w:t>
            </w:r>
            <w:r w:rsidRPr="00FE73E7">
              <w:rPr>
                <w:sz w:val="20"/>
                <w:szCs w:val="20"/>
                <w:lang w:val="en-US"/>
              </w:rPr>
              <w:t>průkrčníku</w:t>
            </w:r>
            <w:r w:rsidR="00C13B2A" w:rsidRPr="00FE73E7">
              <w:rPr>
                <w:sz w:val="20"/>
                <w:szCs w:val="20"/>
                <w:lang w:val="en-US"/>
              </w:rPr>
              <w:t xml:space="preserve"> </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18</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18</w:t>
            </w:r>
          </w:p>
        </w:tc>
        <w:tc>
          <w:tcPr>
            <w:tcW w:w="680" w:type="dxa"/>
            <w:noWrap/>
            <w:vAlign w:val="center"/>
          </w:tcPr>
          <w:p w:rsidR="00210B53" w:rsidRPr="00FE73E7" w:rsidRDefault="00210B53" w:rsidP="009217EB">
            <w:pPr>
              <w:jc w:val="center"/>
              <w:rPr>
                <w:b/>
                <w:sz w:val="20"/>
                <w:szCs w:val="20"/>
                <w:lang w:val="en-US"/>
              </w:rPr>
            </w:pPr>
            <w:r w:rsidRPr="00FE73E7">
              <w:rPr>
                <w:b/>
                <w:sz w:val="20"/>
                <w:szCs w:val="20"/>
                <w:lang w:val="en-US"/>
              </w:rPr>
              <w:t>18</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19</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19</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19</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20</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20</w:t>
            </w:r>
          </w:p>
        </w:tc>
        <w:tc>
          <w:tcPr>
            <w:tcW w:w="546" w:type="dxa"/>
            <w:vAlign w:val="center"/>
          </w:tcPr>
          <w:p w:rsidR="00210B53" w:rsidRPr="00FE73E7" w:rsidRDefault="00C13B2A" w:rsidP="009217EB">
            <w:pPr>
              <w:jc w:val="center"/>
              <w:rPr>
                <w:sz w:val="20"/>
                <w:szCs w:val="20"/>
                <w:lang w:val="en-US"/>
              </w:rPr>
            </w:pPr>
            <w:r w:rsidRPr="00FE73E7">
              <w:rPr>
                <w:sz w:val="20"/>
                <w:szCs w:val="20"/>
                <w:lang w:val="en-US"/>
              </w:rPr>
              <w:t>1</w:t>
            </w:r>
          </w:p>
        </w:tc>
      </w:tr>
      <w:tr w:rsidR="00210B53" w:rsidRPr="00FE73E7" w:rsidTr="00C13B2A">
        <w:trPr>
          <w:trHeight w:val="340"/>
        </w:trPr>
        <w:tc>
          <w:tcPr>
            <w:tcW w:w="426" w:type="dxa"/>
            <w:vAlign w:val="center"/>
          </w:tcPr>
          <w:p w:rsidR="00210B53" w:rsidRPr="00FE73E7" w:rsidRDefault="00210B53" w:rsidP="009217EB">
            <w:pPr>
              <w:rPr>
                <w:sz w:val="20"/>
                <w:szCs w:val="20"/>
                <w:lang w:val="en-US"/>
              </w:rPr>
            </w:pPr>
            <w:r w:rsidRPr="00FE73E7">
              <w:rPr>
                <w:sz w:val="20"/>
                <w:szCs w:val="20"/>
                <w:lang w:val="en-US"/>
              </w:rPr>
              <w:t>G</w:t>
            </w:r>
          </w:p>
        </w:tc>
        <w:tc>
          <w:tcPr>
            <w:tcW w:w="2948" w:type="dxa"/>
            <w:noWrap/>
            <w:vAlign w:val="center"/>
          </w:tcPr>
          <w:p w:rsidR="00210B53" w:rsidRPr="00FE73E7" w:rsidRDefault="00210B53" w:rsidP="00C13B2A">
            <w:pPr>
              <w:rPr>
                <w:sz w:val="20"/>
                <w:szCs w:val="20"/>
                <w:lang w:val="en-US"/>
              </w:rPr>
            </w:pPr>
            <w:r w:rsidRPr="00FE73E7">
              <w:rPr>
                <w:sz w:val="20"/>
                <w:szCs w:val="20"/>
                <w:lang w:val="en-US"/>
              </w:rPr>
              <w:t>Šíř</w:t>
            </w:r>
            <w:r w:rsidR="00C13B2A" w:rsidRPr="00FE73E7">
              <w:rPr>
                <w:sz w:val="20"/>
                <w:szCs w:val="20"/>
                <w:lang w:val="en-US"/>
              </w:rPr>
              <w:t>ka</w:t>
            </w:r>
            <w:r w:rsidRPr="00FE73E7">
              <w:rPr>
                <w:sz w:val="20"/>
                <w:szCs w:val="20"/>
                <w:lang w:val="en-US"/>
              </w:rPr>
              <w:t xml:space="preserve"> rukávu</w:t>
            </w:r>
            <w:r w:rsidR="00C13B2A" w:rsidRPr="00FE73E7">
              <w:rPr>
                <w:sz w:val="20"/>
                <w:szCs w:val="20"/>
                <w:lang w:val="en-US"/>
              </w:rPr>
              <w:t xml:space="preserve"> /</w:t>
            </w:r>
            <w:r w:rsidR="00C13B2A" w:rsidRPr="00FE73E7">
              <w:rPr>
                <w:sz w:val="20"/>
                <w:szCs w:val="20"/>
                <w:vertAlign w:val="superscript"/>
                <w:lang w:val="en-US"/>
              </w:rPr>
              <w:t>2</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13</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13,5</w:t>
            </w:r>
          </w:p>
        </w:tc>
        <w:tc>
          <w:tcPr>
            <w:tcW w:w="680" w:type="dxa"/>
            <w:noWrap/>
            <w:vAlign w:val="center"/>
          </w:tcPr>
          <w:p w:rsidR="00210B53" w:rsidRPr="00FE73E7" w:rsidRDefault="00210B53" w:rsidP="009217EB">
            <w:pPr>
              <w:jc w:val="center"/>
              <w:rPr>
                <w:b/>
                <w:sz w:val="20"/>
                <w:szCs w:val="20"/>
                <w:lang w:val="en-US"/>
              </w:rPr>
            </w:pPr>
            <w:r w:rsidRPr="00FE73E7">
              <w:rPr>
                <w:b/>
                <w:sz w:val="20"/>
                <w:szCs w:val="20"/>
                <w:lang w:val="en-US"/>
              </w:rPr>
              <w:t>14</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14,5</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15</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15,5</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16</w:t>
            </w:r>
          </w:p>
        </w:tc>
        <w:tc>
          <w:tcPr>
            <w:tcW w:w="680" w:type="dxa"/>
            <w:noWrap/>
            <w:vAlign w:val="center"/>
          </w:tcPr>
          <w:p w:rsidR="00210B53" w:rsidRPr="00FE73E7" w:rsidRDefault="00210B53" w:rsidP="009217EB">
            <w:pPr>
              <w:jc w:val="center"/>
              <w:rPr>
                <w:sz w:val="20"/>
                <w:szCs w:val="20"/>
                <w:lang w:val="en-US"/>
              </w:rPr>
            </w:pPr>
            <w:r w:rsidRPr="00FE73E7">
              <w:rPr>
                <w:sz w:val="20"/>
                <w:szCs w:val="20"/>
                <w:lang w:val="en-US"/>
              </w:rPr>
              <w:t>16,5</w:t>
            </w:r>
          </w:p>
        </w:tc>
        <w:tc>
          <w:tcPr>
            <w:tcW w:w="546" w:type="dxa"/>
            <w:vAlign w:val="center"/>
          </w:tcPr>
          <w:p w:rsidR="00210B53" w:rsidRPr="00FE73E7" w:rsidRDefault="00C13B2A" w:rsidP="009217EB">
            <w:pPr>
              <w:jc w:val="center"/>
              <w:rPr>
                <w:sz w:val="20"/>
                <w:szCs w:val="20"/>
                <w:lang w:val="en-US"/>
              </w:rPr>
            </w:pPr>
            <w:r w:rsidRPr="00FE73E7">
              <w:rPr>
                <w:sz w:val="20"/>
                <w:szCs w:val="20"/>
                <w:lang w:val="en-US"/>
              </w:rPr>
              <w:t>0,7</w:t>
            </w:r>
          </w:p>
        </w:tc>
      </w:tr>
    </w:tbl>
    <w:p w:rsidR="008F31B3" w:rsidRPr="008F31B3" w:rsidRDefault="008F31B3" w:rsidP="008F31B3">
      <w:pPr>
        <w:spacing w:after="0"/>
        <w:rPr>
          <w:sz w:val="18"/>
          <w:szCs w:val="18"/>
        </w:rPr>
      </w:pPr>
      <w:r w:rsidRPr="008F31B3">
        <w:rPr>
          <w:sz w:val="18"/>
          <w:szCs w:val="18"/>
        </w:rPr>
        <w:t>Všechny rozměry jsou uvedené v cm; metodika měření dle ČSN 80 7040;</w:t>
      </w:r>
    </w:p>
    <w:p w:rsidR="00C13B2A" w:rsidRPr="008F31B3" w:rsidRDefault="008F31B3" w:rsidP="008F31B3">
      <w:pPr>
        <w:spacing w:after="0"/>
        <w:rPr>
          <w:sz w:val="18"/>
          <w:szCs w:val="18"/>
        </w:rPr>
      </w:pPr>
      <w:r w:rsidRPr="008F31B3">
        <w:rPr>
          <w:sz w:val="18"/>
          <w:szCs w:val="18"/>
        </w:rPr>
        <w:t>/</w:t>
      </w:r>
      <w:r w:rsidRPr="00C13B2A">
        <w:rPr>
          <w:sz w:val="18"/>
          <w:szCs w:val="18"/>
          <w:vertAlign w:val="superscript"/>
        </w:rPr>
        <w:t>1</w:t>
      </w:r>
      <w:r w:rsidRPr="008F31B3">
        <w:rPr>
          <w:sz w:val="18"/>
          <w:szCs w:val="18"/>
        </w:rPr>
        <w:t xml:space="preserve"> - tělesný rozměr</w:t>
      </w:r>
    </w:p>
    <w:p w:rsidR="00C13B2A" w:rsidRDefault="00C13B2A" w:rsidP="00C13B2A">
      <w:pPr>
        <w:spacing w:after="0"/>
        <w:rPr>
          <w:sz w:val="18"/>
          <w:szCs w:val="18"/>
        </w:rPr>
      </w:pPr>
      <w:r w:rsidRPr="008F31B3">
        <w:rPr>
          <w:sz w:val="18"/>
          <w:szCs w:val="18"/>
        </w:rPr>
        <w:t>/</w:t>
      </w:r>
      <w:r>
        <w:rPr>
          <w:sz w:val="18"/>
          <w:szCs w:val="18"/>
          <w:vertAlign w:val="superscript"/>
        </w:rPr>
        <w:t>2</w:t>
      </w:r>
      <w:r w:rsidRPr="008F31B3">
        <w:rPr>
          <w:sz w:val="18"/>
          <w:szCs w:val="18"/>
        </w:rPr>
        <w:t xml:space="preserve"> </w:t>
      </w:r>
      <w:r>
        <w:rPr>
          <w:sz w:val="18"/>
          <w:szCs w:val="18"/>
        </w:rPr>
        <w:t>–</w:t>
      </w:r>
      <w:r w:rsidRPr="008F31B3">
        <w:rPr>
          <w:sz w:val="18"/>
          <w:szCs w:val="18"/>
        </w:rPr>
        <w:t xml:space="preserve"> </w:t>
      </w:r>
      <w:r>
        <w:rPr>
          <w:sz w:val="18"/>
          <w:szCs w:val="18"/>
        </w:rPr>
        <w:t>měřeno 15cm od dolního kraje rukávu</w:t>
      </w:r>
    </w:p>
    <w:p w:rsidR="008F31B3" w:rsidRDefault="008F31B3" w:rsidP="00245298">
      <w:pPr>
        <w:spacing w:after="0"/>
        <w:rPr>
          <w:sz w:val="18"/>
          <w:szCs w:val="18"/>
        </w:rPr>
      </w:pPr>
    </w:p>
    <w:p w:rsidR="008F31B3" w:rsidRPr="00245298" w:rsidRDefault="008F31B3" w:rsidP="00245298">
      <w:pPr>
        <w:spacing w:after="0"/>
      </w:pPr>
    </w:p>
    <w:sectPr w:rsidR="008F31B3" w:rsidRPr="00245298" w:rsidSect="009217EB">
      <w:footerReference w:type="default" r:id="rId13"/>
      <w:pgSz w:w="11900" w:h="16840"/>
      <w:pgMar w:top="1418" w:right="1418" w:bottom="1418" w:left="1418" w:header="851"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0EA" w:rsidRDefault="002C10EA" w:rsidP="00245298">
      <w:pPr>
        <w:spacing w:after="0" w:line="240" w:lineRule="auto"/>
      </w:pPr>
      <w:r>
        <w:separator/>
      </w:r>
    </w:p>
  </w:endnote>
  <w:endnote w:type="continuationSeparator" w:id="0">
    <w:p w:rsidR="002C10EA" w:rsidRDefault="002C10EA" w:rsidP="002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3D0" w:rsidRDefault="000973D0">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0EA" w:rsidRDefault="002C10EA" w:rsidP="00245298">
      <w:pPr>
        <w:spacing w:after="0" w:line="240" w:lineRule="auto"/>
      </w:pPr>
      <w:r>
        <w:separator/>
      </w:r>
    </w:p>
  </w:footnote>
  <w:footnote w:type="continuationSeparator" w:id="0">
    <w:p w:rsidR="002C10EA" w:rsidRDefault="002C10EA" w:rsidP="0024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3D0" w:rsidRDefault="000973D0" w:rsidP="000973D0">
    <w:pPr>
      <w:spacing w:after="0" w:line="240" w:lineRule="auto"/>
      <w:jc w:val="center"/>
    </w:pPr>
    <w:r w:rsidRPr="000A01D0">
      <w:rPr>
        <w:b/>
        <w:lang w:bidi="cs-CZ"/>
      </w:rPr>
      <w:t xml:space="preserve">TECHNICKÁ SPECIFIKACE – </w:t>
    </w:r>
    <w:r w:rsidR="001F19C0">
      <w:rPr>
        <w:b/>
        <w:lang w:bidi="cs-CZ"/>
      </w:rPr>
      <w:t>SVETR</w:t>
    </w:r>
    <w:r w:rsidR="00973AFD">
      <w:rPr>
        <w:b/>
        <w:lang w:bidi="cs-CZ"/>
      </w:rPr>
      <w:t xml:space="preserve"> STEJNOKROJOVÝ </w:t>
    </w:r>
    <w:r w:rsidR="00CC7D8A">
      <w:rPr>
        <w:b/>
        <w:lang w:bidi="cs-CZ"/>
      </w:rPr>
      <w:t>PÁNSKÝ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A66"/>
    <w:multiLevelType w:val="multilevel"/>
    <w:tmpl w:val="31D292DE"/>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C53B9"/>
    <w:multiLevelType w:val="hybridMultilevel"/>
    <w:tmpl w:val="B09A8E98"/>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BC40F8"/>
    <w:multiLevelType w:val="multilevel"/>
    <w:tmpl w:val="4EDCDA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C43F20"/>
    <w:multiLevelType w:val="hybridMultilevel"/>
    <w:tmpl w:val="C8EA694E"/>
    <w:lvl w:ilvl="0" w:tplc="4D22A88A">
      <w:start w:val="1"/>
      <w:numFmt w:val="bullet"/>
      <w:lvlText w:val=""/>
      <w:lvlJc w:val="left"/>
      <w:pPr>
        <w:ind w:left="360" w:hanging="360"/>
      </w:pPr>
      <w:rPr>
        <w:rFonts w:ascii="Symbol" w:hAnsi="Symbol" w:hint="default"/>
        <w:b/>
        <w:i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B68087D"/>
    <w:multiLevelType w:val="hybridMultilevel"/>
    <w:tmpl w:val="8D68398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629EC"/>
    <w:multiLevelType w:val="hybridMultilevel"/>
    <w:tmpl w:val="16AE558E"/>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D06600"/>
    <w:multiLevelType w:val="hybridMultilevel"/>
    <w:tmpl w:val="932EF512"/>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3A8B27AE"/>
    <w:multiLevelType w:val="hybridMultilevel"/>
    <w:tmpl w:val="0158F6B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BB2C8E"/>
    <w:multiLevelType w:val="hybridMultilevel"/>
    <w:tmpl w:val="024C70E4"/>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1F5C78"/>
    <w:multiLevelType w:val="hybridMultilevel"/>
    <w:tmpl w:val="6212C1F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20776C"/>
    <w:multiLevelType w:val="hybridMultilevel"/>
    <w:tmpl w:val="D00C0668"/>
    <w:lvl w:ilvl="0" w:tplc="4C500E9C">
      <w:start w:val="4"/>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56AB3058"/>
    <w:multiLevelType w:val="hybridMultilevel"/>
    <w:tmpl w:val="DF8A532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324C89"/>
    <w:multiLevelType w:val="hybridMultilevel"/>
    <w:tmpl w:val="DEC23CBE"/>
    <w:lvl w:ilvl="0" w:tplc="ADD66C66">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AB4815"/>
    <w:multiLevelType w:val="hybridMultilevel"/>
    <w:tmpl w:val="024421F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F746DB"/>
    <w:multiLevelType w:val="hybridMultilevel"/>
    <w:tmpl w:val="46D26FFA"/>
    <w:lvl w:ilvl="0" w:tplc="AE3A70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47A3F92"/>
    <w:multiLevelType w:val="hybridMultilevel"/>
    <w:tmpl w:val="EA44B3BC"/>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063EDA"/>
    <w:multiLevelType w:val="hybridMultilevel"/>
    <w:tmpl w:val="C0BEB0A4"/>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7A9C0694"/>
    <w:multiLevelType w:val="hybridMultilevel"/>
    <w:tmpl w:val="01B85018"/>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DE32FC5"/>
    <w:multiLevelType w:val="hybridMultilevel"/>
    <w:tmpl w:val="A1E0B8DA"/>
    <w:lvl w:ilvl="0" w:tplc="ADD66C66">
      <w:start w:val="1"/>
      <w:numFmt w:val="bullet"/>
      <w:lvlText w:val="-"/>
      <w:lvlJc w:val="left"/>
      <w:pPr>
        <w:tabs>
          <w:tab w:val="num" w:pos="340"/>
        </w:tabs>
        <w:ind w:left="340" w:hanging="34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9"/>
  </w:num>
  <w:num w:numId="6">
    <w:abstractNumId w:val="7"/>
  </w:num>
  <w:num w:numId="7">
    <w:abstractNumId w:val="1"/>
  </w:num>
  <w:num w:numId="8">
    <w:abstractNumId w:val="15"/>
  </w:num>
  <w:num w:numId="9">
    <w:abstractNumId w:val="11"/>
  </w:num>
  <w:num w:numId="10">
    <w:abstractNumId w:val="18"/>
  </w:num>
  <w:num w:numId="11">
    <w:abstractNumId w:val="10"/>
  </w:num>
  <w:num w:numId="12">
    <w:abstractNumId w:val="2"/>
  </w:num>
  <w:num w:numId="13">
    <w:abstractNumId w:val="14"/>
  </w:num>
  <w:num w:numId="14">
    <w:abstractNumId w:val="16"/>
  </w:num>
  <w:num w:numId="15">
    <w:abstractNumId w:val="13"/>
  </w:num>
  <w:num w:numId="16">
    <w:abstractNumId w:val="3"/>
  </w:num>
  <w:num w:numId="17">
    <w:abstractNumId w:val="6"/>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98"/>
    <w:rsid w:val="00056C00"/>
    <w:rsid w:val="00070E47"/>
    <w:rsid w:val="00077120"/>
    <w:rsid w:val="000973D0"/>
    <w:rsid w:val="000B472C"/>
    <w:rsid w:val="001F19C0"/>
    <w:rsid w:val="00210B53"/>
    <w:rsid w:val="002125AB"/>
    <w:rsid w:val="00215920"/>
    <w:rsid w:val="002451AB"/>
    <w:rsid w:val="00245298"/>
    <w:rsid w:val="002C10EA"/>
    <w:rsid w:val="002C670A"/>
    <w:rsid w:val="003452FF"/>
    <w:rsid w:val="00463422"/>
    <w:rsid w:val="00485F4F"/>
    <w:rsid w:val="004C3667"/>
    <w:rsid w:val="005C01D0"/>
    <w:rsid w:val="00607AB9"/>
    <w:rsid w:val="00656C72"/>
    <w:rsid w:val="006C1A11"/>
    <w:rsid w:val="006E2E35"/>
    <w:rsid w:val="007C0ECB"/>
    <w:rsid w:val="007C3144"/>
    <w:rsid w:val="008320B8"/>
    <w:rsid w:val="00873B93"/>
    <w:rsid w:val="008923B5"/>
    <w:rsid w:val="008B5CE8"/>
    <w:rsid w:val="008D3884"/>
    <w:rsid w:val="008F31B3"/>
    <w:rsid w:val="009217EB"/>
    <w:rsid w:val="00937ED8"/>
    <w:rsid w:val="00973AFD"/>
    <w:rsid w:val="009F0E9A"/>
    <w:rsid w:val="00AA2FB3"/>
    <w:rsid w:val="00AC6A5F"/>
    <w:rsid w:val="00C12C41"/>
    <w:rsid w:val="00C13B2A"/>
    <w:rsid w:val="00C27A04"/>
    <w:rsid w:val="00C42385"/>
    <w:rsid w:val="00C60420"/>
    <w:rsid w:val="00CB20BC"/>
    <w:rsid w:val="00CC7D8A"/>
    <w:rsid w:val="00CE2D8F"/>
    <w:rsid w:val="00DB7464"/>
    <w:rsid w:val="00DC43CE"/>
    <w:rsid w:val="00DE783E"/>
    <w:rsid w:val="00E21790"/>
    <w:rsid w:val="00E54134"/>
    <w:rsid w:val="00EB3C91"/>
    <w:rsid w:val="00EF0261"/>
    <w:rsid w:val="00F075B3"/>
    <w:rsid w:val="00F9225C"/>
    <w:rsid w:val="00FC1055"/>
    <w:rsid w:val="00FE73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2BD22D7-0828-4479-B6AB-09698472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45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452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5298"/>
  </w:style>
  <w:style w:type="paragraph" w:styleId="Zpat">
    <w:name w:val="footer"/>
    <w:basedOn w:val="Normln"/>
    <w:link w:val="ZpatChar"/>
    <w:uiPriority w:val="99"/>
    <w:unhideWhenUsed/>
    <w:rsid w:val="00245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245298"/>
  </w:style>
  <w:style w:type="paragraph" w:styleId="Odstavecseseznamem">
    <w:name w:val="List Paragraph"/>
    <w:basedOn w:val="Normln"/>
    <w:uiPriority w:val="34"/>
    <w:qFormat/>
    <w:rsid w:val="00DE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53733">
      <w:bodyDiv w:val="1"/>
      <w:marLeft w:val="0"/>
      <w:marRight w:val="0"/>
      <w:marTop w:val="0"/>
      <w:marBottom w:val="0"/>
      <w:divBdr>
        <w:top w:val="none" w:sz="0" w:space="0" w:color="auto"/>
        <w:left w:val="none" w:sz="0" w:space="0" w:color="auto"/>
        <w:bottom w:val="none" w:sz="0" w:space="0" w:color="auto"/>
        <w:right w:val="none" w:sz="0" w:space="0" w:color="auto"/>
      </w:divBdr>
    </w:div>
    <w:div w:id="419058688">
      <w:bodyDiv w:val="1"/>
      <w:marLeft w:val="0"/>
      <w:marRight w:val="0"/>
      <w:marTop w:val="0"/>
      <w:marBottom w:val="0"/>
      <w:divBdr>
        <w:top w:val="none" w:sz="0" w:space="0" w:color="auto"/>
        <w:left w:val="none" w:sz="0" w:space="0" w:color="auto"/>
        <w:bottom w:val="none" w:sz="0" w:space="0" w:color="auto"/>
        <w:right w:val="none" w:sz="0" w:space="0" w:color="auto"/>
      </w:divBdr>
    </w:div>
    <w:div w:id="124538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7F20B-207F-42A9-A43F-B4C300F3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5</Pages>
  <Words>1055</Words>
  <Characters>6014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2019-07-10T08:51:00Z</dcterms:created>
  <dcterms:modified xsi:type="dcterms:W3CDTF">2019-07-25T10:41:00Z</dcterms:modified>
</cp:coreProperties>
</file>